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both"/>
        <w:rPr>
          <w:rFonts w:hint="eastAsia" w:ascii="方正小标宋简体" w:hAnsi="方正小标宋简体" w:eastAsia="方正小标宋简体" w:cs="方正小标宋简体"/>
          <w:sz w:val="44"/>
          <w:szCs w:val="44"/>
        </w:rPr>
      </w:pPr>
      <w:bookmarkStart w:id="0" w:name="_Hlk101790289"/>
      <w:r>
        <w:rPr>
          <w:rFonts w:hint="eastAsia" w:ascii="方正小标宋简体" w:hAnsi="方正小标宋简体" w:eastAsia="方正小标宋简体" w:cs="方正小标宋简体"/>
          <w:sz w:val="44"/>
          <w:szCs w:val="44"/>
        </w:rPr>
        <w:t>关于开展“学习二十大精神  培根铸魂育新人”</w:t>
      </w:r>
    </w:p>
    <w:p>
      <w:pPr>
        <w:adjustRightInd w:val="0"/>
        <w:snapToGrid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2022年福建省高校教师思想政治和师德师风</w:t>
      </w:r>
      <w:bookmarkEnd w:id="0"/>
    </w:p>
    <w:p>
      <w:pPr>
        <w:adjustRightInd w:val="0"/>
        <w:snapToGrid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专题网络研修的通知</w:t>
      </w:r>
    </w:p>
    <w:p>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highlight w:val="none"/>
        </w:rPr>
      </w:pPr>
      <w:bookmarkStart w:id="16" w:name="_GoBack"/>
      <w:bookmarkEnd w:id="16"/>
      <w:r>
        <w:rPr>
          <w:rFonts w:hint="eastAsia" w:ascii="仿宋_GB2312" w:hAnsi="仿宋_GB2312" w:eastAsia="仿宋_GB2312" w:cs="仿宋_GB2312"/>
          <w:sz w:val="32"/>
          <w:szCs w:val="32"/>
          <w:highlight w:val="none"/>
          <w:lang w:eastAsia="zh-CN"/>
        </w:rPr>
        <w:t>各单位</w:t>
      </w:r>
      <w:r>
        <w:rPr>
          <w:rFonts w:hint="eastAsia" w:ascii="仿宋_GB2312" w:hAnsi="仿宋_GB2312" w:eastAsia="仿宋_GB2312" w:cs="仿宋_GB2312"/>
          <w:sz w:val="32"/>
          <w:szCs w:val="32"/>
          <w:highlight w:val="none"/>
        </w:rPr>
        <w:t>：</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根据福建省教育厅2022年度教师培训工作计划安排，经研究，决定开展“学习二十大精神  培根铸魂育新人”——2022年福建省高校教师思想政治和师德师风专题网络研修活动。现将有关事项通知如下：</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一、目标任务</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深入学习贯彻党的二十大精神，全面贯彻《中共中央 国务院关于全面深化新时代教师队伍建设改革的意见》和福建省实施意见，聚焦立德树人根本任务，落实师德师风第一标准，通过开展思想政治和师德师风专题教育，推动全省高校教师深入贯彻习近平总书记关于教育的重要论述和教师队伍建设的重要指示精神，进一步增强“四个意识”，坚定“四个自信”，坚持“两个确立”，做到“两个维护”，自觉践行“六要”价值准则，严格遵守师德师风规范，切实增强教书育人本领，不断提高人才培养质量，努力做精于“传道授业解惑”的“经师”和“人师”的统一者。</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二、培训对象</w:t>
      </w:r>
    </w:p>
    <w:p>
      <w:pPr>
        <w:keepNext w:val="0"/>
        <w:keepLines w:val="0"/>
        <w:pageBreakBefore w:val="0"/>
        <w:widowControl/>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全校在</w:t>
      </w:r>
      <w:r>
        <w:rPr>
          <w:rFonts w:hint="eastAsia" w:ascii="仿宋_GB2312" w:hAnsi="仿宋_GB2312" w:eastAsia="仿宋_GB2312" w:cs="仿宋_GB2312"/>
          <w:sz w:val="32"/>
          <w:szCs w:val="32"/>
          <w:lang w:val="en-US" w:eastAsia="zh-CN"/>
        </w:rPr>
        <w:t>编</w:t>
      </w:r>
      <w:r>
        <w:rPr>
          <w:rFonts w:hint="eastAsia" w:ascii="仿宋_GB2312" w:hAnsi="仿宋_GB2312" w:eastAsia="仿宋_GB2312" w:cs="仿宋_GB2312"/>
          <w:sz w:val="32"/>
          <w:szCs w:val="32"/>
          <w:lang w:eastAsia="zh-CN"/>
        </w:rPr>
        <w:t>在岗</w:t>
      </w:r>
      <w:r>
        <w:rPr>
          <w:rFonts w:hint="eastAsia" w:ascii="仿宋_GB2312" w:hAnsi="仿宋_GB2312" w:eastAsia="仿宋_GB2312" w:cs="仿宋_GB2312"/>
          <w:sz w:val="32"/>
          <w:szCs w:val="32"/>
        </w:rPr>
        <w:t>专任教师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含思政教师、</w:t>
      </w:r>
      <w:r>
        <w:rPr>
          <w:rFonts w:hint="eastAsia" w:ascii="仿宋_GB2312" w:hAnsi="仿宋_GB2312" w:eastAsia="仿宋_GB2312" w:cs="仿宋_GB2312"/>
          <w:sz w:val="32"/>
          <w:szCs w:val="32"/>
          <w:lang w:eastAsia="zh-CN"/>
        </w:rPr>
        <w:t>辅导员）</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bCs/>
          <w:sz w:val="32"/>
          <w:szCs w:val="32"/>
        </w:rPr>
      </w:pPr>
      <w:r>
        <w:rPr>
          <w:rFonts w:hint="eastAsia" w:ascii="黑体" w:hAnsi="黑体" w:eastAsia="黑体" w:cs="黑体"/>
          <w:sz w:val="32"/>
          <w:szCs w:val="32"/>
        </w:rPr>
        <w:t>三、培训内容和形式</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（一）网络研修（修读10学时）</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本次网络研修依托福建省高等学校师资培训中心与国家教育行政学院远程培训部共建的“教师培训云平台”来进行。</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党的二十大精神为引领，以学习贯彻习近平总书记关于教育的重要论述和教师队伍建设的重要指示精神为主线，围绕践行“六要”价值准则、遵守《新时代高校教师职业行为十项准则》，设置在线课程四个学习模块，要求每位学员合计修读10个学时（具体课程设置详见附件1）。</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模块一：学习习近平总书记关于教育的重要论述（修读3学时）</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模块二：政治理论学习与思政素养提升（修读2学时）</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模块三：教书育人实践与师德师风建设（修读3学时）</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模块四：职业行为准则与警示案例教育（修读2学时）</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（二）主题实践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lang w:eastAsia="zh-CN"/>
        </w:rPr>
        <w:t>要</w:t>
      </w:r>
      <w:r>
        <w:rPr>
          <w:rFonts w:hint="eastAsia" w:ascii="仿宋_GB2312" w:hAnsi="仿宋_GB2312" w:eastAsia="仿宋_GB2312" w:cs="仿宋_GB2312"/>
          <w:sz w:val="32"/>
          <w:szCs w:val="32"/>
        </w:rPr>
        <w:t>组织开展师德师风专题研讨会和优秀教师事迹报告会，营造浓厚的师德师风宣传教育氛围，作为本次专题网络研修的实践拓展。</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四、培训时间与操作流程</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（一）网络研修：2022年11月30日—12月31日。</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操作流程如下：</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1．学员访问福建省高等学校师资培训中心网页→教师培训云平台（https://www.tcc.edu.cn/h/jspxy/），在轮播图或培训项目栏目中，点击“2022年福建省高校教师思想政治和师德师风专题网络研修”；</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2．在专题页面点击【点击报名】，进入登录页面；</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3．在登录页面，使用账号密码或手机号验证码登录，如果您未注册过账号，请先进行注册；</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4．登录后，自动进入填写报名信息页面，请您按页面提示填写“基本信息”和“工作信息”，其中“工作单位”请务必填写学校全称，“部门”请务必填写院系全称，填写完整后点击【确定】提交信息；</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5．提交信息培训项目自动加入购物车，请您在购物车页面，勾选付款的项目并点击【去付款】，本期培训不对学员个人进行收费，点击去付款，自动显示支付成功；</w:t>
      </w:r>
    </w:p>
    <w:p>
      <w:pPr>
        <w:pStyle w:val="40"/>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6．前往“个人学习中心-项目”中，开始本期培训学习。</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（二）主题实践：各高校结合日常工作自行开展。</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五、考核评价</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（一）参训教师在规定时间内完成10学时的研修计划，即视为考核合格，由福建省高等学校师资培训中心发给学时证明（电子证明，可从学习平台下载）。</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（二）学习平台将同步记录各校教师参训情况，培训结束后，由福建省高等学校师资培训中心将各高校教师参训率、合格率等情况汇总报送省教育厅教师工作处。</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六、组织管理</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本次培训由福建省教育厅教师工作处主办，委托福建省高等学校师资培训中心负责组织实施。这是我省首次面向高校全体专任教师开展的大规模师德师风网络研修活动，请各</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务必高度重视，抓好落实，指定项目负责人、联系人，填写《培训管理团队回执表》（附件2）并加盖公章，以电子文档形式，于2022年11月2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日前报送</w:t>
      </w:r>
      <w:r>
        <w:rPr>
          <w:rFonts w:hint="eastAsia" w:ascii="仿宋_GB2312" w:hAnsi="仿宋_GB2312" w:eastAsia="仿宋_GB2312" w:cs="仿宋_GB2312"/>
          <w:sz w:val="32"/>
          <w:szCs w:val="32"/>
          <w:lang w:val="en-US" w:eastAsia="zh-CN"/>
        </w:rPr>
        <w:t>师资管理科</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项目管理联系人：</w:t>
      </w:r>
      <w:r>
        <w:rPr>
          <w:rFonts w:hint="eastAsia" w:ascii="仿宋_GB2312" w:hAnsi="仿宋_GB2312" w:eastAsia="仿宋_GB2312" w:cs="仿宋_GB2312"/>
          <w:sz w:val="32"/>
          <w:szCs w:val="32"/>
          <w:lang w:val="en-US" w:eastAsia="zh-CN"/>
        </w:rPr>
        <w:t>林健丹 0591-22865921</w:t>
      </w:r>
    </w:p>
    <w:p>
      <w:pPr>
        <w:keepNext w:val="0"/>
        <w:keepLines w:val="0"/>
        <w:pageBreakBefore w:val="0"/>
        <w:widowControl/>
        <w:kinsoku/>
        <w:wordWrap/>
        <w:overflowPunct/>
        <w:topLinePunct w:val="0"/>
        <w:autoSpaceDE/>
        <w:autoSpaceDN/>
        <w:bidi w:val="0"/>
        <w:adjustRightInd w:val="0"/>
        <w:snapToGrid w:val="0"/>
        <w:spacing w:line="560" w:lineRule="exact"/>
        <w:ind w:firstLine="960" w:firstLine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电子邮箱：</w:t>
      </w:r>
      <w:r>
        <w:rPr>
          <w:rFonts w:hint="eastAsia" w:ascii="仿宋_GB2312" w:hAnsi="仿宋_GB2312" w:eastAsia="仿宋_GB2312" w:cs="仿宋_GB2312"/>
          <w:sz w:val="32"/>
          <w:szCs w:val="32"/>
          <w:lang w:val="en-US" w:eastAsia="zh-CN" w:bidi="ar-SA"/>
        </w:rPr>
        <w:t>jsglyfzk@fjnu.edu.cn</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"mailto:741845390@qq.com"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end"/>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学员在系统报名或学习过程中遇到技术问题，可拨打技术服务热线电话咨询：4008757650，服务时间：上午8:30-12:00；下午13:00-22:00；周末及节假日照常值班；或通过平台登录后页面右侧的“平台操作咨询”窗口留言咨询。</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left="1918" w:leftChars="228" w:hanging="1280" w:hangingChars="4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附件：</w:t>
      </w:r>
      <w:r>
        <w:rPr>
          <w:rFonts w:hint="eastAsia" w:ascii="仿宋_GB2312" w:hAnsi="仿宋_GB2312" w:eastAsia="仿宋_GB2312" w:cs="仿宋_GB2312"/>
          <w:sz w:val="32"/>
          <w:szCs w:val="32"/>
        </w:rPr>
        <w:t>1.福建省高校教师2022年思想政治和师德师风专题网络研修课程列表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1916" w:leftChars="570" w:hanging="320" w:hanging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福建省高校教师2022年思想政治和师德师风专题网络培训管理团队回执表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学员操作手册</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5440" w:firstLineChars="17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教师工作处</w:t>
      </w: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2022年11月</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日</w:t>
      </w: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firstLine="4960" w:firstLineChars="1550"/>
        <w:textAlignment w:val="auto"/>
        <w:rPr>
          <w:rFonts w:hint="eastAsia" w:ascii="仿宋_GB2312" w:hAnsi="仿宋_GB2312" w:eastAsia="仿宋_GB2312" w:cs="仿宋_GB2312"/>
          <w:sz w:val="32"/>
          <w:szCs w:val="32"/>
        </w:rPr>
      </w:pPr>
    </w:p>
    <w:p>
      <w:pPr>
        <w:adjustRightInd w:val="0"/>
        <w:snapToGrid w:val="0"/>
        <w:spacing w:line="276" w:lineRule="auto"/>
        <w:rPr>
          <w:rFonts w:eastAsia="仿宋" w:cs="仿宋"/>
          <w:sz w:val="32"/>
          <w:szCs w:val="32"/>
        </w:rPr>
      </w:pPr>
      <w:r>
        <w:rPr>
          <w:rFonts w:hint="eastAsia" w:eastAsia="仿宋" w:cs="仿宋"/>
          <w:sz w:val="32"/>
          <w:szCs w:val="32"/>
        </w:rPr>
        <w:t>附件1</w:t>
      </w:r>
    </w:p>
    <w:p>
      <w:pPr>
        <w:adjustRightInd w:val="0"/>
        <w:snapToGrid w:val="0"/>
        <w:spacing w:line="276" w:lineRule="auto"/>
        <w:jc w:val="center"/>
        <w:rPr>
          <w:rFonts w:ascii="黑体" w:hAnsi="黑体" w:eastAsia="黑体" w:cs="黑体"/>
          <w:sz w:val="36"/>
          <w:szCs w:val="36"/>
        </w:rPr>
      </w:pPr>
      <w:r>
        <w:rPr>
          <w:rFonts w:hint="eastAsia" w:ascii="黑体" w:hAnsi="黑体" w:eastAsia="黑体" w:cs="黑体"/>
          <w:sz w:val="36"/>
          <w:szCs w:val="36"/>
        </w:rPr>
        <w:t>福建省高校教师2022年思想政治和师德师风</w:t>
      </w:r>
    </w:p>
    <w:p>
      <w:pPr>
        <w:adjustRightInd w:val="0"/>
        <w:snapToGrid w:val="0"/>
        <w:spacing w:line="276" w:lineRule="auto"/>
        <w:jc w:val="center"/>
        <w:rPr>
          <w:rFonts w:ascii="黑体" w:hAnsi="黑体" w:eastAsia="黑体" w:cs="黑体"/>
          <w:sz w:val="36"/>
          <w:szCs w:val="36"/>
        </w:rPr>
      </w:pPr>
      <w:r>
        <w:rPr>
          <w:rFonts w:hint="eastAsia" w:ascii="黑体" w:hAnsi="黑体" w:eastAsia="黑体" w:cs="黑体"/>
          <w:sz w:val="36"/>
          <w:szCs w:val="36"/>
        </w:rPr>
        <w:t>专题网络研修课程列表</w:t>
      </w:r>
    </w:p>
    <w:tbl>
      <w:tblPr>
        <w:tblStyle w:val="21"/>
        <w:tblW w:w="5412" w:type="pct"/>
        <w:jc w:val="center"/>
        <w:tblLayout w:type="fixed"/>
        <w:tblCellMar>
          <w:top w:w="0" w:type="dxa"/>
          <w:left w:w="108" w:type="dxa"/>
          <w:bottom w:w="0" w:type="dxa"/>
          <w:right w:w="108" w:type="dxa"/>
        </w:tblCellMar>
      </w:tblPr>
      <w:tblGrid>
        <w:gridCol w:w="2224"/>
        <w:gridCol w:w="3796"/>
        <w:gridCol w:w="995"/>
        <w:gridCol w:w="2045"/>
        <w:gridCol w:w="993"/>
      </w:tblGrid>
      <w:tr>
        <w:tblPrEx>
          <w:tblCellMar>
            <w:top w:w="0" w:type="dxa"/>
            <w:left w:w="108" w:type="dxa"/>
            <w:bottom w:w="0" w:type="dxa"/>
            <w:right w:w="108" w:type="dxa"/>
          </w:tblCellMar>
        </w:tblPrEx>
        <w:trPr>
          <w:trHeight w:val="568"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000000" w:fill="B4C6E7"/>
            <w:vAlign w:val="center"/>
          </w:tcPr>
          <w:p>
            <w:pPr>
              <w:spacing w:line="240" w:lineRule="auto"/>
              <w:jc w:val="center"/>
              <w:rPr>
                <w:rFonts w:eastAsia="仿宋" w:cs="宋体"/>
                <w:b/>
                <w:color w:val="000000"/>
                <w:sz w:val="21"/>
                <w:szCs w:val="21"/>
              </w:rPr>
            </w:pPr>
            <w:r>
              <w:rPr>
                <w:rFonts w:hint="eastAsia" w:eastAsia="仿宋" w:cs="宋体"/>
                <w:b/>
                <w:color w:val="000000"/>
                <w:sz w:val="21"/>
                <w:szCs w:val="21"/>
              </w:rPr>
              <w:t>第一模块  学习习近平总书记关于教育的重要论述</w:t>
            </w:r>
          </w:p>
        </w:tc>
      </w:tr>
      <w:tr>
        <w:tblPrEx>
          <w:tblCellMar>
            <w:top w:w="0" w:type="dxa"/>
            <w:left w:w="108" w:type="dxa"/>
            <w:bottom w:w="0" w:type="dxa"/>
            <w:right w:w="108" w:type="dxa"/>
          </w:tblCellMar>
        </w:tblPrEx>
        <w:trPr>
          <w:trHeight w:val="56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w:t>
            </w:r>
            <w:r>
              <w:rPr>
                <w:rFonts w:eastAsia="仿宋"/>
                <w:b/>
                <w:bCs/>
                <w:color w:val="000000"/>
                <w:sz w:val="21"/>
                <w:szCs w:val="21"/>
              </w:rPr>
              <w:t>ID</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课程名称</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主讲人</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单位及职务</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hint="eastAsia" w:eastAsia="仿宋" w:cs="宋体"/>
                <w:b/>
                <w:bCs/>
                <w:color w:val="000000"/>
                <w:sz w:val="21"/>
                <w:szCs w:val="21"/>
                <w:lang w:eastAsia="zh-CN"/>
              </w:rPr>
            </w:pPr>
            <w:r>
              <w:rPr>
                <w:rFonts w:hint="eastAsia" w:eastAsia="仿宋" w:cs="宋体"/>
                <w:b/>
                <w:bCs/>
                <w:color w:val="000000"/>
                <w:sz w:val="21"/>
                <w:szCs w:val="21"/>
              </w:rPr>
              <w:t>时长</w:t>
            </w:r>
          </w:p>
          <w:p>
            <w:pPr>
              <w:spacing w:line="240" w:lineRule="auto"/>
              <w:jc w:val="center"/>
              <w:rPr>
                <w:rFonts w:eastAsia="仿宋" w:cs="宋体"/>
                <w:b/>
                <w:bCs/>
                <w:color w:val="000000"/>
                <w:sz w:val="21"/>
                <w:szCs w:val="21"/>
              </w:rPr>
            </w:pPr>
            <w:r>
              <w:rPr>
                <w:rFonts w:hint="eastAsia" w:eastAsia="仿宋" w:cs="宋体"/>
                <w:b/>
                <w:bCs/>
                <w:color w:val="000000"/>
                <w:sz w:val="21"/>
                <w:szCs w:val="21"/>
              </w:rPr>
              <w:t>（分钟)</w:t>
            </w:r>
          </w:p>
        </w:tc>
      </w:tr>
      <w:tr>
        <w:tblPrEx>
          <w:tblCellMar>
            <w:top w:w="0" w:type="dxa"/>
            <w:left w:w="108" w:type="dxa"/>
            <w:bottom w:w="0" w:type="dxa"/>
            <w:right w:w="108" w:type="dxa"/>
          </w:tblCellMar>
        </w:tblPrEx>
        <w:trPr>
          <w:trHeight w:val="54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651550089036906496</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olor w:val="000000"/>
                <w:sz w:val="21"/>
                <w:szCs w:val="21"/>
              </w:rPr>
            </w:pPr>
            <w:r>
              <w:rPr>
                <w:rFonts w:hint="eastAsia" w:eastAsia="仿宋"/>
                <w:color w:val="000000"/>
                <w:sz w:val="21"/>
                <w:szCs w:val="21"/>
              </w:rPr>
              <w:t>奋力谱写全面建设社会主义现代化国家崭新篇章</w:t>
            </w:r>
            <w:r>
              <w:rPr>
                <w:rFonts w:eastAsia="仿宋"/>
                <w:color w:val="000000"/>
                <w:sz w:val="21"/>
                <w:szCs w:val="21"/>
              </w:rPr>
              <w:t>——</w:t>
            </w:r>
            <w:r>
              <w:rPr>
                <w:rFonts w:hint="eastAsia" w:eastAsia="仿宋"/>
                <w:color w:val="000000"/>
                <w:sz w:val="21"/>
                <w:szCs w:val="21"/>
              </w:rPr>
              <w:t>党的二十大报告精神导学</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hint="eastAsia" w:eastAsia="仿宋"/>
                <w:color w:val="000000"/>
                <w:sz w:val="21"/>
                <w:szCs w:val="21"/>
              </w:rPr>
              <w:t>周文彰</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olor w:val="000000"/>
                <w:sz w:val="21"/>
                <w:szCs w:val="21"/>
              </w:rPr>
            </w:pPr>
            <w:r>
              <w:rPr>
                <w:rFonts w:hint="eastAsia" w:eastAsia="仿宋"/>
                <w:color w:val="000000"/>
                <w:sz w:val="21"/>
                <w:szCs w:val="21"/>
              </w:rPr>
              <w:t>中共中央党校（国家行政学院）教授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99</w:t>
            </w:r>
          </w:p>
        </w:tc>
      </w:tr>
      <w:tr>
        <w:tblPrEx>
          <w:tblCellMar>
            <w:top w:w="0" w:type="dxa"/>
            <w:left w:w="108" w:type="dxa"/>
            <w:bottom w:w="0" w:type="dxa"/>
            <w:right w:w="108" w:type="dxa"/>
          </w:tblCellMar>
        </w:tblPrEx>
        <w:trPr>
          <w:trHeight w:val="556"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653367721380143104</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认真学习党的二十大精神，开辟马克思主义中国化时代化新境界</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刘  春</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中共中央党校（国家行政学院）教授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105</w:t>
            </w:r>
          </w:p>
        </w:tc>
      </w:tr>
      <w:tr>
        <w:tblPrEx>
          <w:tblCellMar>
            <w:top w:w="0" w:type="dxa"/>
            <w:left w:w="108" w:type="dxa"/>
            <w:bottom w:w="0" w:type="dxa"/>
            <w:right w:w="108" w:type="dxa"/>
          </w:tblCellMar>
        </w:tblPrEx>
        <w:trPr>
          <w:trHeight w:val="83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11月20日上线</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认真学习和领会党的二十大通过的《中国共产党章程（修正案）》</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陈凯龙</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中共中央党校（国家行政学院）党的建设教研部教授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110</w:t>
            </w:r>
          </w:p>
        </w:tc>
      </w:tr>
      <w:tr>
        <w:tblPrEx>
          <w:tblCellMar>
            <w:top w:w="0" w:type="dxa"/>
            <w:left w:w="108" w:type="dxa"/>
            <w:bottom w:w="0" w:type="dxa"/>
            <w:right w:w="108" w:type="dxa"/>
          </w:tblCellMar>
        </w:tblPrEx>
        <w:trPr>
          <w:trHeight w:val="711"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439589886224662529</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坚持立德树人，建设教育强国——学习《习近平总书记教育重要论述讲义》</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王炳林</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教育部高等学校社会科学发展研究中心主任</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90</w:t>
            </w:r>
          </w:p>
        </w:tc>
      </w:tr>
      <w:tr>
        <w:tblPrEx>
          <w:tblCellMar>
            <w:top w:w="0" w:type="dxa"/>
            <w:left w:w="108" w:type="dxa"/>
            <w:bottom w:w="0" w:type="dxa"/>
            <w:right w:w="108" w:type="dxa"/>
          </w:tblCellMar>
        </w:tblPrEx>
        <w:trPr>
          <w:trHeight w:val="809"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371529376406106112</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教育大计教师为本</w:t>
            </w:r>
            <w:r>
              <w:rPr>
                <w:rFonts w:eastAsia="仿宋"/>
                <w:color w:val="000000"/>
                <w:sz w:val="21"/>
                <w:szCs w:val="21"/>
              </w:rPr>
              <w:t>——</w:t>
            </w:r>
            <w:r>
              <w:rPr>
                <w:rFonts w:hint="eastAsia" w:eastAsia="仿宋" w:cs="宋体"/>
                <w:color w:val="000000"/>
                <w:sz w:val="21"/>
                <w:szCs w:val="21"/>
              </w:rPr>
              <w:t>深入学习贯彻习近平总书记关于教育发展和教师工作的重要论述</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高书国</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中国教育学会副秘书长、研究员</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101</w:t>
            </w:r>
          </w:p>
        </w:tc>
      </w:tr>
      <w:tr>
        <w:tblPrEx>
          <w:tblCellMar>
            <w:top w:w="0" w:type="dxa"/>
            <w:left w:w="108" w:type="dxa"/>
            <w:bottom w:w="0" w:type="dxa"/>
            <w:right w:w="108" w:type="dxa"/>
          </w:tblCellMar>
        </w:tblPrEx>
        <w:trPr>
          <w:trHeight w:val="809"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612481975837335552</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深入学习习近平总书记关于教育的重要论述把握高校改革发展面临的新形势新任务</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巫志刚</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教育部政策法规司综合研究处处长</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121</w:t>
            </w:r>
          </w:p>
        </w:tc>
      </w:tr>
      <w:tr>
        <w:tblPrEx>
          <w:tblCellMar>
            <w:top w:w="0" w:type="dxa"/>
            <w:left w:w="108" w:type="dxa"/>
            <w:bottom w:w="0" w:type="dxa"/>
            <w:right w:w="108" w:type="dxa"/>
          </w:tblCellMar>
        </w:tblPrEx>
        <w:trPr>
          <w:trHeight w:val="809"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554461484080635904</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心怀“国之大者”，建设中国特色世界一流大学——深入学习习近平总书记在清华大学考察时发表的重要讲话精神</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马陆亭</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中国教育科学研究院副院长、研究员</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89</w:t>
            </w:r>
          </w:p>
        </w:tc>
      </w:tr>
      <w:tr>
        <w:tblPrEx>
          <w:tblCellMar>
            <w:top w:w="0" w:type="dxa"/>
            <w:left w:w="108" w:type="dxa"/>
            <w:bottom w:w="0" w:type="dxa"/>
            <w:right w:w="108" w:type="dxa"/>
          </w:tblCellMar>
        </w:tblPrEx>
        <w:trPr>
          <w:trHeight w:val="809"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542587013814988800</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努力成为世界主要科学中心和创新高地——深入学习习近平总书记关于建设科技强国的重要论述</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潘教峰</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中国科学院科技战略咨询研究院院长</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92</w:t>
            </w:r>
          </w:p>
        </w:tc>
      </w:tr>
      <w:tr>
        <w:tblPrEx>
          <w:tblCellMar>
            <w:top w:w="0" w:type="dxa"/>
            <w:left w:w="108" w:type="dxa"/>
            <w:bottom w:w="0" w:type="dxa"/>
            <w:right w:w="108" w:type="dxa"/>
          </w:tblCellMar>
        </w:tblPrEx>
        <w:trPr>
          <w:trHeight w:val="568"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000000" w:fill="B4C6E7"/>
            <w:vAlign w:val="center"/>
          </w:tcPr>
          <w:p>
            <w:pPr>
              <w:spacing w:line="240" w:lineRule="auto"/>
              <w:jc w:val="center"/>
              <w:rPr>
                <w:rFonts w:eastAsia="仿宋" w:cs="宋体"/>
                <w:color w:val="000000"/>
                <w:sz w:val="21"/>
                <w:szCs w:val="21"/>
              </w:rPr>
            </w:pPr>
            <w:r>
              <w:rPr>
                <w:rFonts w:hint="eastAsia" w:eastAsia="仿宋" w:cs="宋体"/>
                <w:b/>
                <w:color w:val="000000"/>
                <w:sz w:val="21"/>
                <w:szCs w:val="21"/>
              </w:rPr>
              <w:t>第二模块  政治理论学习与思政素养提升</w:t>
            </w:r>
          </w:p>
        </w:tc>
      </w:tr>
      <w:tr>
        <w:tblPrEx>
          <w:tblCellMar>
            <w:top w:w="0" w:type="dxa"/>
            <w:left w:w="108" w:type="dxa"/>
            <w:bottom w:w="0" w:type="dxa"/>
            <w:right w:w="108" w:type="dxa"/>
          </w:tblCellMar>
        </w:tblPrEx>
        <w:trPr>
          <w:trHeight w:val="56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w:t>
            </w:r>
            <w:r>
              <w:rPr>
                <w:rFonts w:eastAsia="仿宋"/>
                <w:b/>
                <w:bCs/>
                <w:color w:val="000000"/>
                <w:sz w:val="21"/>
                <w:szCs w:val="21"/>
              </w:rPr>
              <w:t>ID</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课程名称</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主讲人</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单位及职务</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hint="eastAsia" w:eastAsia="仿宋" w:cs="宋体"/>
                <w:b/>
                <w:bCs/>
                <w:color w:val="000000"/>
                <w:sz w:val="21"/>
                <w:szCs w:val="21"/>
                <w:lang w:eastAsia="zh-CN"/>
              </w:rPr>
            </w:pPr>
            <w:r>
              <w:rPr>
                <w:rFonts w:hint="eastAsia" w:eastAsia="仿宋" w:cs="宋体"/>
                <w:b/>
                <w:bCs/>
                <w:color w:val="000000"/>
                <w:sz w:val="21"/>
                <w:szCs w:val="21"/>
              </w:rPr>
              <w:t>时长</w:t>
            </w:r>
          </w:p>
          <w:p>
            <w:pPr>
              <w:spacing w:line="240" w:lineRule="auto"/>
              <w:jc w:val="center"/>
              <w:rPr>
                <w:rFonts w:eastAsia="仿宋" w:cs="宋体"/>
                <w:b/>
                <w:bCs/>
                <w:color w:val="000000"/>
                <w:sz w:val="21"/>
                <w:szCs w:val="21"/>
              </w:rPr>
            </w:pPr>
            <w:r>
              <w:rPr>
                <w:rFonts w:hint="eastAsia" w:eastAsia="仿宋" w:cs="宋体"/>
                <w:b/>
                <w:bCs/>
                <w:color w:val="000000"/>
                <w:sz w:val="21"/>
                <w:szCs w:val="21"/>
              </w:rPr>
              <w:t>（分钟)</w:t>
            </w:r>
          </w:p>
        </w:tc>
      </w:tr>
      <w:tr>
        <w:tblPrEx>
          <w:tblCellMar>
            <w:top w:w="0" w:type="dxa"/>
            <w:left w:w="108" w:type="dxa"/>
            <w:bottom w:w="0" w:type="dxa"/>
            <w:right w:w="108" w:type="dxa"/>
          </w:tblCellMar>
        </w:tblPrEx>
        <w:trPr>
          <w:trHeight w:val="532"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645455054168547328</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加强和改进新时代思想政治工作</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eastAsia="仿宋" w:cs="宋体"/>
                <w:color w:val="000000"/>
                <w:sz w:val="21"/>
                <w:szCs w:val="21"/>
              </w:rPr>
              <w:t>秦</w:t>
            </w:r>
            <w:r>
              <w:rPr>
                <w:rFonts w:hint="eastAsia" w:eastAsia="仿宋" w:cs="宋体"/>
                <w:color w:val="000000"/>
                <w:sz w:val="21"/>
                <w:szCs w:val="21"/>
                <w:lang w:val="en-US" w:eastAsia="zh-CN"/>
              </w:rPr>
              <w:t xml:space="preserve">  </w:t>
            </w:r>
            <w:r>
              <w:rPr>
                <w:rFonts w:eastAsia="仿宋" w:cs="宋体"/>
                <w:color w:val="000000"/>
                <w:sz w:val="21"/>
                <w:szCs w:val="21"/>
              </w:rPr>
              <w:t>强</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eastAsia="仿宋" w:cs="宋体"/>
                <w:color w:val="000000"/>
                <w:spacing w:val="-4"/>
                <w:sz w:val="21"/>
                <w:szCs w:val="21"/>
              </w:rPr>
              <w:t>中宣部全国宣传干部学院教研部副主任</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hint="eastAsia" w:eastAsia="仿宋"/>
                <w:color w:val="000000"/>
                <w:sz w:val="21"/>
                <w:szCs w:val="21"/>
              </w:rPr>
              <w:t>9</w:t>
            </w:r>
            <w:r>
              <w:rPr>
                <w:rFonts w:eastAsia="仿宋"/>
                <w:color w:val="000000"/>
                <w:sz w:val="21"/>
                <w:szCs w:val="21"/>
              </w:rPr>
              <w:t>1</w:t>
            </w:r>
          </w:p>
        </w:tc>
      </w:tr>
      <w:tr>
        <w:tblPrEx>
          <w:tblCellMar>
            <w:top w:w="0" w:type="dxa"/>
            <w:left w:w="108" w:type="dxa"/>
            <w:bottom w:w="0" w:type="dxa"/>
            <w:right w:w="108" w:type="dxa"/>
          </w:tblCellMar>
        </w:tblPrEx>
        <w:trPr>
          <w:trHeight w:val="699"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556362115890810880</w:t>
            </w:r>
          </w:p>
        </w:tc>
        <w:tc>
          <w:tcPr>
            <w:tcW w:w="18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fldChar w:fldCharType="begin"/>
            </w:r>
            <w:r>
              <w:instrText xml:space="preserve"> HYPERLINK "https://study.enaea.edu.cn/kecheng/detail_294601" \t "_blank" \o "习近平外交思想与新时代中国特色大国外交" </w:instrText>
            </w:r>
            <w:r>
              <w:fldChar w:fldCharType="separate"/>
            </w:r>
            <w:r>
              <w:rPr>
                <w:rFonts w:eastAsia="仿宋" w:cs="宋体"/>
                <w:color w:val="000000"/>
                <w:sz w:val="21"/>
                <w:szCs w:val="21"/>
              </w:rPr>
              <w:t>习近平外交思想与新时代中国特色大国外交</w:t>
            </w:r>
            <w:r>
              <w:rPr>
                <w:rFonts w:eastAsia="仿宋" w:cs="宋体"/>
                <w:color w:val="000000"/>
                <w:sz w:val="21"/>
                <w:szCs w:val="21"/>
              </w:rPr>
              <w:fldChar w:fldCharType="end"/>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eastAsia="仿宋" w:cs="宋体"/>
                <w:color w:val="000000"/>
                <w:sz w:val="21"/>
                <w:szCs w:val="21"/>
              </w:rPr>
              <w:t>苏</w:t>
            </w:r>
            <w:r>
              <w:rPr>
                <w:rFonts w:hint="eastAsia" w:eastAsia="仿宋" w:cs="宋体"/>
                <w:color w:val="000000"/>
                <w:sz w:val="21"/>
                <w:szCs w:val="21"/>
                <w:lang w:val="en-US" w:eastAsia="zh-CN"/>
              </w:rPr>
              <w:t xml:space="preserve">  </w:t>
            </w:r>
            <w:r>
              <w:rPr>
                <w:rFonts w:eastAsia="仿宋" w:cs="宋体"/>
                <w:color w:val="000000"/>
                <w:sz w:val="21"/>
                <w:szCs w:val="21"/>
              </w:rPr>
              <w:t>浩</w:t>
            </w:r>
          </w:p>
        </w:tc>
        <w:tc>
          <w:tcPr>
            <w:tcW w:w="10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外交学院战略与和平研究中心主任、二级教授</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hint="eastAsia" w:eastAsia="仿宋"/>
                <w:color w:val="000000"/>
                <w:sz w:val="21"/>
                <w:szCs w:val="21"/>
              </w:rPr>
              <w:t>1</w:t>
            </w:r>
            <w:r>
              <w:rPr>
                <w:rFonts w:eastAsia="仿宋"/>
                <w:color w:val="000000"/>
                <w:sz w:val="21"/>
                <w:szCs w:val="21"/>
              </w:rPr>
              <w:t>19</w:t>
            </w:r>
          </w:p>
        </w:tc>
      </w:tr>
      <w:tr>
        <w:tblPrEx>
          <w:tblCellMar>
            <w:top w:w="0" w:type="dxa"/>
            <w:left w:w="108" w:type="dxa"/>
            <w:bottom w:w="0" w:type="dxa"/>
            <w:right w:w="108" w:type="dxa"/>
          </w:tblCellMar>
        </w:tblPrEx>
        <w:trPr>
          <w:trHeight w:val="852"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eastAsia="仿宋" w:cs="宋体"/>
                <w:color w:val="000000"/>
                <w:sz w:val="21"/>
                <w:szCs w:val="21"/>
              </w:rPr>
              <w:t>315614993722396672</w:t>
            </w:r>
          </w:p>
        </w:tc>
        <w:tc>
          <w:tcPr>
            <w:tcW w:w="18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fldChar w:fldCharType="begin"/>
            </w:r>
            <w:r>
              <w:instrText xml:space="preserve"> HYPERLINK "https://study.enaea.edu.cn/kecheng/detail_282261" \t "_blank" \o "文化自信与社会主义核心价值观建设" </w:instrText>
            </w:r>
            <w:r>
              <w:fldChar w:fldCharType="separate"/>
            </w:r>
            <w:r>
              <w:rPr>
                <w:rFonts w:eastAsia="仿宋" w:cs="宋体"/>
                <w:color w:val="000000"/>
                <w:sz w:val="21"/>
                <w:szCs w:val="21"/>
              </w:rPr>
              <w:t>文化自信与社会主义核心价值观建设</w:t>
            </w:r>
            <w:r>
              <w:rPr>
                <w:rFonts w:eastAsia="仿宋" w:cs="宋体"/>
                <w:color w:val="000000"/>
                <w:sz w:val="21"/>
                <w:szCs w:val="21"/>
              </w:rPr>
              <w:fldChar w:fldCharType="end"/>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 xml:space="preserve">张 </w:t>
            </w:r>
            <w:r>
              <w:rPr>
                <w:rFonts w:hint="eastAsia" w:eastAsia="仿宋" w:cs="宋体"/>
                <w:color w:val="000000"/>
                <w:sz w:val="21"/>
                <w:szCs w:val="21"/>
                <w:lang w:val="en-US" w:eastAsia="zh-CN"/>
              </w:rPr>
              <w:t xml:space="preserve"> </w:t>
            </w:r>
            <w:r>
              <w:rPr>
                <w:rFonts w:hint="eastAsia" w:eastAsia="仿宋" w:cs="宋体"/>
                <w:color w:val="000000"/>
                <w:sz w:val="21"/>
                <w:szCs w:val="21"/>
              </w:rPr>
              <w:t>军</w:t>
            </w:r>
          </w:p>
        </w:tc>
        <w:tc>
          <w:tcPr>
            <w:tcW w:w="10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中共中央党校（国家行政学院）文史教研部副主任，教授</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hint="eastAsia" w:eastAsia="仿宋"/>
                <w:color w:val="000000"/>
                <w:sz w:val="21"/>
                <w:szCs w:val="21"/>
              </w:rPr>
              <w:t>1</w:t>
            </w:r>
            <w:r>
              <w:rPr>
                <w:rFonts w:eastAsia="仿宋"/>
                <w:color w:val="000000"/>
                <w:sz w:val="21"/>
                <w:szCs w:val="21"/>
              </w:rPr>
              <w:t>19</w:t>
            </w:r>
          </w:p>
        </w:tc>
      </w:tr>
      <w:tr>
        <w:tblPrEx>
          <w:tblCellMar>
            <w:top w:w="0" w:type="dxa"/>
            <w:left w:w="108" w:type="dxa"/>
            <w:bottom w:w="0" w:type="dxa"/>
            <w:right w:w="108" w:type="dxa"/>
          </w:tblCellMar>
        </w:tblPrEx>
        <w:trPr>
          <w:trHeight w:val="566"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442440425671036928</w:t>
            </w:r>
          </w:p>
        </w:tc>
        <w:tc>
          <w:tcPr>
            <w:tcW w:w="18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学习“四史”  坚定中国特色社会主义“四个自信”</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王  刚</w:t>
            </w:r>
          </w:p>
        </w:tc>
        <w:tc>
          <w:tcPr>
            <w:tcW w:w="10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pacing w:val="-4"/>
                <w:sz w:val="21"/>
                <w:szCs w:val="21"/>
              </w:rPr>
            </w:pPr>
            <w:r>
              <w:rPr>
                <w:rFonts w:hint="eastAsia" w:eastAsia="仿宋" w:cs="宋体"/>
                <w:color w:val="000000"/>
                <w:spacing w:val="-4"/>
                <w:sz w:val="21"/>
                <w:szCs w:val="21"/>
              </w:rPr>
              <w:t>南京师范大学马克思主义学院院长，教授</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80</w:t>
            </w:r>
          </w:p>
        </w:tc>
      </w:tr>
      <w:tr>
        <w:tblPrEx>
          <w:tblCellMar>
            <w:top w:w="0" w:type="dxa"/>
            <w:left w:w="108" w:type="dxa"/>
            <w:bottom w:w="0" w:type="dxa"/>
            <w:right w:w="108" w:type="dxa"/>
          </w:tblCellMar>
        </w:tblPrEx>
        <w:trPr>
          <w:trHeight w:val="567"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603456384628187136</w:t>
            </w:r>
          </w:p>
        </w:tc>
        <w:tc>
          <w:tcPr>
            <w:tcW w:w="1888" w:type="pct"/>
            <w:tcBorders>
              <w:top w:val="single" w:color="auto" w:sz="4" w:space="0"/>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弘扬爱国奋斗精神 建功立业新时代</w:t>
            </w:r>
          </w:p>
        </w:tc>
        <w:tc>
          <w:tcPr>
            <w:tcW w:w="495"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张  健</w:t>
            </w:r>
          </w:p>
        </w:tc>
        <w:tc>
          <w:tcPr>
            <w:tcW w:w="10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南开大学马克思主义学院教授</w:t>
            </w:r>
          </w:p>
        </w:tc>
        <w:tc>
          <w:tcPr>
            <w:tcW w:w="494"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93</w:t>
            </w:r>
          </w:p>
        </w:tc>
      </w:tr>
      <w:tr>
        <w:tblPrEx>
          <w:tblCellMar>
            <w:top w:w="0" w:type="dxa"/>
            <w:left w:w="108" w:type="dxa"/>
            <w:bottom w:w="0" w:type="dxa"/>
            <w:right w:w="108" w:type="dxa"/>
          </w:tblCellMar>
        </w:tblPrEx>
        <w:trPr>
          <w:trHeight w:val="566"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534494987380768768</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新时代高校青年思政课教师的专业发展与职业自信</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任  鹏</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东北大学马克思主义学院副院长、教授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83</w:t>
            </w:r>
          </w:p>
        </w:tc>
      </w:tr>
      <w:tr>
        <w:tblPrEx>
          <w:tblCellMar>
            <w:top w:w="0" w:type="dxa"/>
            <w:left w:w="108" w:type="dxa"/>
            <w:bottom w:w="0" w:type="dxa"/>
            <w:right w:w="108" w:type="dxa"/>
          </w:tblCellMar>
        </w:tblPrEx>
        <w:trPr>
          <w:trHeight w:val="568"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000000" w:fill="B4C6E7"/>
            <w:vAlign w:val="center"/>
          </w:tcPr>
          <w:p>
            <w:pPr>
              <w:spacing w:line="240" w:lineRule="auto"/>
              <w:jc w:val="center"/>
              <w:rPr>
                <w:rFonts w:eastAsia="仿宋" w:cs="宋体"/>
                <w:color w:val="000000"/>
                <w:sz w:val="21"/>
                <w:szCs w:val="21"/>
              </w:rPr>
            </w:pPr>
            <w:r>
              <w:rPr>
                <w:rFonts w:hint="eastAsia" w:eastAsia="仿宋" w:cs="宋体"/>
                <w:b/>
                <w:color w:val="000000"/>
                <w:sz w:val="21"/>
                <w:szCs w:val="21"/>
              </w:rPr>
              <w:t>第三模块  教书育人实践与师德师风建设</w:t>
            </w:r>
          </w:p>
        </w:tc>
      </w:tr>
      <w:tr>
        <w:tblPrEx>
          <w:tblCellMar>
            <w:top w:w="0" w:type="dxa"/>
            <w:left w:w="108" w:type="dxa"/>
            <w:bottom w:w="0" w:type="dxa"/>
            <w:right w:w="108" w:type="dxa"/>
          </w:tblCellMar>
        </w:tblPrEx>
        <w:trPr>
          <w:trHeight w:val="56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w:t>
            </w:r>
            <w:r>
              <w:rPr>
                <w:rFonts w:eastAsia="仿宋"/>
                <w:b/>
                <w:bCs/>
                <w:color w:val="000000"/>
                <w:sz w:val="21"/>
                <w:szCs w:val="21"/>
              </w:rPr>
              <w:t>ID</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课程名称</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主讲人</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单位及职务</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hint="eastAsia" w:eastAsia="仿宋" w:cs="宋体"/>
                <w:b/>
                <w:bCs/>
                <w:color w:val="000000"/>
                <w:sz w:val="21"/>
                <w:szCs w:val="21"/>
                <w:lang w:eastAsia="zh-CN"/>
              </w:rPr>
            </w:pPr>
            <w:r>
              <w:rPr>
                <w:rFonts w:hint="eastAsia" w:eastAsia="仿宋" w:cs="宋体"/>
                <w:b/>
                <w:bCs/>
                <w:color w:val="000000"/>
                <w:sz w:val="21"/>
                <w:szCs w:val="21"/>
              </w:rPr>
              <w:t>时长</w:t>
            </w:r>
          </w:p>
          <w:p>
            <w:pPr>
              <w:spacing w:line="240" w:lineRule="auto"/>
              <w:jc w:val="center"/>
              <w:rPr>
                <w:rFonts w:eastAsia="仿宋" w:cs="宋体"/>
                <w:b/>
                <w:bCs/>
                <w:color w:val="000000"/>
                <w:sz w:val="21"/>
                <w:szCs w:val="21"/>
              </w:rPr>
            </w:pPr>
            <w:r>
              <w:rPr>
                <w:rFonts w:hint="eastAsia" w:eastAsia="仿宋" w:cs="宋体"/>
                <w:b/>
                <w:bCs/>
                <w:color w:val="000000"/>
                <w:sz w:val="21"/>
                <w:szCs w:val="21"/>
              </w:rPr>
              <w:t>（分钟)</w:t>
            </w:r>
          </w:p>
        </w:tc>
      </w:tr>
      <w:tr>
        <w:tblPrEx>
          <w:tblCellMar>
            <w:top w:w="0" w:type="dxa"/>
            <w:left w:w="108" w:type="dxa"/>
            <w:bottom w:w="0" w:type="dxa"/>
            <w:right w:w="108" w:type="dxa"/>
          </w:tblCellMar>
        </w:tblPrEx>
        <w:trPr>
          <w:trHeight w:val="66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599909361530462208</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如何做好一名大学教师——我做教师的几点感悟</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李荣同</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pacing w:val="-4"/>
                <w:sz w:val="21"/>
                <w:szCs w:val="21"/>
              </w:rPr>
            </w:pPr>
            <w:r>
              <w:rPr>
                <w:rFonts w:hint="eastAsia" w:eastAsia="仿宋" w:cs="宋体"/>
                <w:color w:val="000000"/>
                <w:spacing w:val="-4"/>
                <w:sz w:val="21"/>
                <w:szCs w:val="21"/>
              </w:rPr>
              <w:t>全国模范教师，东华理工大学化学生物与材料科学学院教授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41</w:t>
            </w:r>
          </w:p>
        </w:tc>
      </w:tr>
      <w:tr>
        <w:tblPrEx>
          <w:tblCellMar>
            <w:top w:w="0" w:type="dxa"/>
            <w:left w:w="108" w:type="dxa"/>
            <w:bottom w:w="0" w:type="dxa"/>
            <w:right w:w="108" w:type="dxa"/>
          </w:tblCellMar>
        </w:tblPrEx>
        <w:trPr>
          <w:trHeight w:val="410"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615062745407590400</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潜心教书育人 共建师生命运共同体——教师责任的认知、认同与实践</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袁  华</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pacing w:val="-4"/>
                <w:sz w:val="21"/>
                <w:szCs w:val="21"/>
              </w:rPr>
              <w:t>武汉工程大学化学与环境工程学院教授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90</w:t>
            </w:r>
          </w:p>
        </w:tc>
      </w:tr>
      <w:tr>
        <w:tblPrEx>
          <w:tblCellMar>
            <w:top w:w="0" w:type="dxa"/>
            <w:left w:w="108" w:type="dxa"/>
            <w:bottom w:w="0" w:type="dxa"/>
            <w:right w:w="108" w:type="dxa"/>
          </w:tblCellMar>
        </w:tblPrEx>
        <w:trPr>
          <w:trHeight w:val="56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538475244344930304</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教师幸福与专业成长</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陈大伟</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成都大学教授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66</w:t>
            </w:r>
          </w:p>
        </w:tc>
      </w:tr>
      <w:tr>
        <w:tblPrEx>
          <w:tblCellMar>
            <w:top w:w="0" w:type="dxa"/>
            <w:left w:w="108" w:type="dxa"/>
            <w:bottom w:w="0" w:type="dxa"/>
            <w:right w:w="108" w:type="dxa"/>
          </w:tblCellMar>
        </w:tblPrEx>
        <w:trPr>
          <w:trHeight w:val="425"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643391021918646272</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关于高校课程思政与师德师风建设的</w:t>
            </w:r>
          </w:p>
          <w:p>
            <w:pPr>
              <w:spacing w:line="240" w:lineRule="auto"/>
              <w:rPr>
                <w:rFonts w:eastAsia="仿宋" w:cs="宋体"/>
                <w:color w:val="000000"/>
                <w:sz w:val="21"/>
                <w:szCs w:val="21"/>
              </w:rPr>
            </w:pPr>
            <w:r>
              <w:rPr>
                <w:rFonts w:hint="eastAsia" w:eastAsia="仿宋" w:cs="宋体"/>
                <w:color w:val="000000"/>
                <w:sz w:val="21"/>
                <w:szCs w:val="21"/>
              </w:rPr>
              <w:t>思考</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高  君</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pacing w:val="-4"/>
                <w:sz w:val="21"/>
                <w:szCs w:val="21"/>
              </w:rPr>
              <w:t>浙江农林大学马克思主义学院院长、教授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86</w:t>
            </w:r>
          </w:p>
        </w:tc>
      </w:tr>
      <w:tr>
        <w:tblPrEx>
          <w:tblCellMar>
            <w:top w:w="0" w:type="dxa"/>
            <w:left w:w="108" w:type="dxa"/>
            <w:bottom w:w="0" w:type="dxa"/>
            <w:right w:w="108" w:type="dxa"/>
          </w:tblCellMar>
        </w:tblPrEx>
        <w:trPr>
          <w:trHeight w:val="575"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648736109329522688</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新时代师德师风建设的路径与方法</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林广梅</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北京信息职业技术学院教授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hint="eastAsia" w:eastAsia="仿宋"/>
                <w:color w:val="000000"/>
                <w:sz w:val="21"/>
                <w:szCs w:val="21"/>
              </w:rPr>
              <w:t>8</w:t>
            </w:r>
            <w:r>
              <w:rPr>
                <w:rFonts w:eastAsia="仿宋"/>
                <w:color w:val="000000"/>
                <w:sz w:val="21"/>
                <w:szCs w:val="21"/>
              </w:rPr>
              <w:t>9</w:t>
            </w:r>
          </w:p>
        </w:tc>
      </w:tr>
      <w:tr>
        <w:tblPrEx>
          <w:tblCellMar>
            <w:top w:w="0" w:type="dxa"/>
            <w:left w:w="108" w:type="dxa"/>
            <w:bottom w:w="0" w:type="dxa"/>
            <w:right w:w="108" w:type="dxa"/>
          </w:tblCellMar>
        </w:tblPrEx>
        <w:trPr>
          <w:trHeight w:val="556"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604333481034833920</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身份认同与责任伦理：师德师风建设长效机制</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周永平</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重庆市教育科学研究院教研员</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91</w:t>
            </w:r>
          </w:p>
        </w:tc>
      </w:tr>
      <w:tr>
        <w:tblPrEx>
          <w:tblCellMar>
            <w:top w:w="0" w:type="dxa"/>
            <w:left w:w="108" w:type="dxa"/>
            <w:bottom w:w="0" w:type="dxa"/>
            <w:right w:w="108" w:type="dxa"/>
          </w:tblCellMar>
        </w:tblPrEx>
        <w:trPr>
          <w:trHeight w:val="568"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000000" w:fill="B4C6E7"/>
            <w:vAlign w:val="center"/>
          </w:tcPr>
          <w:p>
            <w:pPr>
              <w:spacing w:line="240" w:lineRule="auto"/>
              <w:jc w:val="center"/>
              <w:rPr>
                <w:rFonts w:eastAsia="仿宋" w:cs="宋体"/>
                <w:color w:val="000000"/>
                <w:sz w:val="21"/>
                <w:szCs w:val="21"/>
              </w:rPr>
            </w:pPr>
            <w:r>
              <w:rPr>
                <w:rFonts w:hint="eastAsia" w:eastAsia="仿宋" w:cs="宋体"/>
                <w:b/>
                <w:color w:val="000000"/>
                <w:sz w:val="21"/>
                <w:szCs w:val="21"/>
              </w:rPr>
              <w:t>第四模块  职业行为准则与警示案例教育</w:t>
            </w:r>
          </w:p>
        </w:tc>
      </w:tr>
      <w:tr>
        <w:tblPrEx>
          <w:tblCellMar>
            <w:top w:w="0" w:type="dxa"/>
            <w:left w:w="108" w:type="dxa"/>
            <w:bottom w:w="0" w:type="dxa"/>
            <w:right w:w="108" w:type="dxa"/>
          </w:tblCellMar>
        </w:tblPrEx>
        <w:trPr>
          <w:trHeight w:val="56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w:t>
            </w:r>
            <w:r>
              <w:rPr>
                <w:rFonts w:eastAsia="仿宋"/>
                <w:b/>
                <w:bCs/>
                <w:color w:val="000000"/>
                <w:sz w:val="21"/>
                <w:szCs w:val="21"/>
              </w:rPr>
              <w:t>ID</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课程名称</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主讲人</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b/>
                <w:bCs/>
                <w:color w:val="000000"/>
                <w:sz w:val="21"/>
                <w:szCs w:val="21"/>
              </w:rPr>
            </w:pPr>
            <w:r>
              <w:rPr>
                <w:rFonts w:hint="eastAsia" w:eastAsia="仿宋" w:cs="宋体"/>
                <w:b/>
                <w:bCs/>
                <w:color w:val="000000"/>
                <w:sz w:val="21"/>
                <w:szCs w:val="21"/>
              </w:rPr>
              <w:t>单位及职务</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hint="eastAsia" w:eastAsia="仿宋" w:cs="宋体"/>
                <w:b/>
                <w:bCs/>
                <w:color w:val="000000"/>
                <w:sz w:val="21"/>
                <w:szCs w:val="21"/>
                <w:lang w:eastAsia="zh-CN"/>
              </w:rPr>
            </w:pPr>
            <w:r>
              <w:rPr>
                <w:rFonts w:hint="eastAsia" w:eastAsia="仿宋" w:cs="宋体"/>
                <w:b/>
                <w:bCs/>
                <w:color w:val="000000"/>
                <w:sz w:val="21"/>
                <w:szCs w:val="21"/>
              </w:rPr>
              <w:t>时长</w:t>
            </w:r>
          </w:p>
          <w:p>
            <w:pPr>
              <w:spacing w:line="240" w:lineRule="auto"/>
              <w:jc w:val="center"/>
              <w:rPr>
                <w:rFonts w:eastAsia="仿宋" w:cs="宋体"/>
                <w:b/>
                <w:bCs/>
                <w:color w:val="000000"/>
                <w:sz w:val="21"/>
                <w:szCs w:val="21"/>
              </w:rPr>
            </w:pPr>
            <w:r>
              <w:rPr>
                <w:rFonts w:hint="eastAsia" w:eastAsia="仿宋" w:cs="宋体"/>
                <w:b/>
                <w:bCs/>
                <w:color w:val="000000"/>
                <w:sz w:val="21"/>
                <w:szCs w:val="21"/>
              </w:rPr>
              <w:t>（分钟)</w:t>
            </w:r>
          </w:p>
        </w:tc>
      </w:tr>
      <w:tr>
        <w:tblPrEx>
          <w:tblCellMar>
            <w:top w:w="0" w:type="dxa"/>
            <w:left w:w="108" w:type="dxa"/>
            <w:bottom w:w="0" w:type="dxa"/>
            <w:right w:w="108" w:type="dxa"/>
          </w:tblCellMar>
        </w:tblPrEx>
        <w:trPr>
          <w:trHeight w:val="838" w:hRule="atLeast"/>
          <w:jc w:val="center"/>
        </w:trPr>
        <w:tc>
          <w:tcPr>
            <w:tcW w:w="1106" w:type="pct"/>
            <w:tcBorders>
              <w:top w:val="nil"/>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626202254761861120</w:t>
            </w:r>
          </w:p>
        </w:tc>
        <w:tc>
          <w:tcPr>
            <w:tcW w:w="1888"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心有师德情怀行有教育担当——《高等学校教师职业道德修养与规范》学习</w:t>
            </w:r>
          </w:p>
          <w:p>
            <w:pPr>
              <w:spacing w:line="240" w:lineRule="auto"/>
              <w:jc w:val="both"/>
              <w:rPr>
                <w:rFonts w:eastAsia="仿宋" w:cs="宋体"/>
                <w:color w:val="000000"/>
                <w:sz w:val="21"/>
                <w:szCs w:val="21"/>
              </w:rPr>
            </w:pPr>
            <w:r>
              <w:rPr>
                <w:rFonts w:hint="eastAsia" w:eastAsia="仿宋" w:cs="宋体"/>
                <w:color w:val="000000"/>
                <w:sz w:val="21"/>
                <w:szCs w:val="21"/>
              </w:rPr>
              <w:t>解读</w:t>
            </w:r>
          </w:p>
        </w:tc>
        <w:tc>
          <w:tcPr>
            <w:tcW w:w="495"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朱月龙</w:t>
            </w:r>
          </w:p>
        </w:tc>
        <w:tc>
          <w:tcPr>
            <w:tcW w:w="1017" w:type="pct"/>
            <w:tcBorders>
              <w:top w:val="nil"/>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全国模范教师、河北师范大学马克思主义学院教授</w:t>
            </w:r>
          </w:p>
        </w:tc>
        <w:tc>
          <w:tcPr>
            <w:tcW w:w="494" w:type="pct"/>
            <w:tcBorders>
              <w:top w:val="nil"/>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70</w:t>
            </w:r>
          </w:p>
        </w:tc>
      </w:tr>
      <w:tr>
        <w:tblPrEx>
          <w:tblCellMar>
            <w:top w:w="0" w:type="dxa"/>
            <w:left w:w="108" w:type="dxa"/>
            <w:bottom w:w="0" w:type="dxa"/>
            <w:right w:w="108" w:type="dxa"/>
          </w:tblCellMar>
        </w:tblPrEx>
        <w:trPr>
          <w:trHeight w:val="975"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626213295334871040</w:t>
            </w:r>
          </w:p>
        </w:tc>
        <w:tc>
          <w:tcPr>
            <w:tcW w:w="18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新时代教师职业行为十项准则及典型案例分析</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蔡海龙</w:t>
            </w:r>
          </w:p>
        </w:tc>
        <w:tc>
          <w:tcPr>
            <w:tcW w:w="10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首都师范大学教育学院首都教育政策与法律研究院副院长、副教授</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87</w:t>
            </w:r>
          </w:p>
        </w:tc>
      </w:tr>
      <w:tr>
        <w:tblPrEx>
          <w:tblCellMar>
            <w:top w:w="0" w:type="dxa"/>
            <w:left w:w="108" w:type="dxa"/>
            <w:bottom w:w="0" w:type="dxa"/>
            <w:right w:w="108" w:type="dxa"/>
          </w:tblCellMar>
        </w:tblPrEx>
        <w:trPr>
          <w:trHeight w:val="481"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572306680010756096</w:t>
            </w:r>
          </w:p>
        </w:tc>
        <w:tc>
          <w:tcPr>
            <w:tcW w:w="1888"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科研诚信与学术规范管理</w:t>
            </w:r>
          </w:p>
        </w:tc>
        <w:tc>
          <w:tcPr>
            <w:tcW w:w="495"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易</w:t>
            </w:r>
            <w:r>
              <w:rPr>
                <w:rFonts w:hint="eastAsia" w:eastAsia="仿宋" w:cs="宋体"/>
                <w:color w:val="000000"/>
                <w:sz w:val="21"/>
                <w:szCs w:val="21"/>
                <w:lang w:val="en-US" w:eastAsia="zh-CN"/>
              </w:rPr>
              <w:t xml:space="preserve">  </w:t>
            </w:r>
            <w:r>
              <w:rPr>
                <w:rFonts w:hint="eastAsia" w:eastAsia="仿宋" w:cs="宋体"/>
                <w:color w:val="000000"/>
                <w:sz w:val="21"/>
                <w:szCs w:val="21"/>
              </w:rPr>
              <w:t>平</w:t>
            </w:r>
          </w:p>
        </w:tc>
        <w:tc>
          <w:tcPr>
            <w:tcW w:w="10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浙江大学医学院科研办公室主任</w:t>
            </w:r>
          </w:p>
        </w:tc>
        <w:tc>
          <w:tcPr>
            <w:tcW w:w="494"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93</w:t>
            </w:r>
          </w:p>
        </w:tc>
      </w:tr>
      <w:tr>
        <w:tblPrEx>
          <w:tblCellMar>
            <w:top w:w="0" w:type="dxa"/>
            <w:left w:w="108" w:type="dxa"/>
            <w:bottom w:w="0" w:type="dxa"/>
            <w:right w:w="108" w:type="dxa"/>
          </w:tblCellMar>
        </w:tblPrEx>
        <w:trPr>
          <w:trHeight w:val="421"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567206633714593792</w:t>
            </w:r>
          </w:p>
        </w:tc>
        <w:tc>
          <w:tcPr>
            <w:tcW w:w="188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s="宋体"/>
                <w:color w:val="000000"/>
                <w:sz w:val="21"/>
                <w:szCs w:val="21"/>
              </w:rPr>
            </w:pPr>
            <w:r>
              <w:rPr>
                <w:rFonts w:hint="eastAsia" w:eastAsia="仿宋" w:cs="宋体"/>
                <w:color w:val="000000"/>
                <w:sz w:val="21"/>
                <w:szCs w:val="21"/>
              </w:rPr>
              <w:t>高校腐败重点领域的廉政风险防控</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周</w:t>
            </w:r>
            <w:r>
              <w:rPr>
                <w:rFonts w:hint="eastAsia" w:eastAsia="仿宋" w:cs="宋体"/>
                <w:color w:val="000000"/>
                <w:sz w:val="21"/>
                <w:szCs w:val="21"/>
                <w:lang w:val="en-US" w:eastAsia="zh-CN"/>
              </w:rPr>
              <w:t xml:space="preserve">  </w:t>
            </w:r>
            <w:r>
              <w:rPr>
                <w:rFonts w:hint="eastAsia" w:eastAsia="仿宋" w:cs="宋体"/>
                <w:color w:val="000000"/>
                <w:sz w:val="21"/>
                <w:szCs w:val="21"/>
              </w:rPr>
              <w:t>磊</w:t>
            </w:r>
          </w:p>
        </w:tc>
        <w:tc>
          <w:tcPr>
            <w:tcW w:w="101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北京廉政建设研究基地研究员</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88</w:t>
            </w:r>
          </w:p>
        </w:tc>
      </w:tr>
      <w:tr>
        <w:tblPrEx>
          <w:tblCellMar>
            <w:top w:w="0" w:type="dxa"/>
            <w:left w:w="108" w:type="dxa"/>
            <w:bottom w:w="0" w:type="dxa"/>
            <w:right w:w="108" w:type="dxa"/>
          </w:tblCellMar>
        </w:tblPrEx>
        <w:trPr>
          <w:trHeight w:val="585" w:hRule="atLeast"/>
          <w:jc w:val="center"/>
        </w:trPr>
        <w:tc>
          <w:tcPr>
            <w:tcW w:w="110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eastAsia="仿宋"/>
                <w:color w:val="000000"/>
                <w:sz w:val="21"/>
                <w:szCs w:val="21"/>
              </w:rPr>
            </w:pPr>
            <w:r>
              <w:rPr>
                <w:rFonts w:eastAsia="仿宋"/>
                <w:color w:val="000000"/>
                <w:sz w:val="21"/>
                <w:szCs w:val="21"/>
              </w:rPr>
              <w:t>573379760933244928</w:t>
            </w:r>
          </w:p>
        </w:tc>
        <w:tc>
          <w:tcPr>
            <w:tcW w:w="1888"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事以密成语以泄败</w:t>
            </w:r>
            <w:r>
              <w:rPr>
                <w:rFonts w:eastAsia="仿宋"/>
                <w:color w:val="000000"/>
                <w:sz w:val="21"/>
                <w:szCs w:val="21"/>
              </w:rPr>
              <w:t>——</w:t>
            </w:r>
            <w:r>
              <w:rPr>
                <w:rFonts w:hint="eastAsia" w:eastAsia="仿宋" w:cs="宋体"/>
                <w:color w:val="000000"/>
                <w:sz w:val="21"/>
                <w:szCs w:val="21"/>
              </w:rPr>
              <w:t>与高校教师谈</w:t>
            </w:r>
          </w:p>
          <w:p>
            <w:pPr>
              <w:spacing w:line="240" w:lineRule="auto"/>
              <w:jc w:val="both"/>
              <w:rPr>
                <w:rFonts w:eastAsia="仿宋" w:cs="宋体"/>
                <w:color w:val="000000"/>
                <w:sz w:val="21"/>
                <w:szCs w:val="21"/>
              </w:rPr>
            </w:pPr>
            <w:r>
              <w:rPr>
                <w:rFonts w:hint="eastAsia" w:eastAsia="仿宋" w:cs="宋体"/>
                <w:color w:val="000000"/>
                <w:sz w:val="21"/>
                <w:szCs w:val="21"/>
              </w:rPr>
              <w:t>保密</w:t>
            </w:r>
          </w:p>
        </w:tc>
        <w:tc>
          <w:tcPr>
            <w:tcW w:w="495"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eastAsia="仿宋" w:cs="宋体"/>
                <w:color w:val="000000"/>
                <w:sz w:val="21"/>
                <w:szCs w:val="21"/>
              </w:rPr>
            </w:pPr>
            <w:r>
              <w:rPr>
                <w:rFonts w:hint="eastAsia" w:eastAsia="仿宋" w:cs="宋体"/>
                <w:color w:val="000000"/>
                <w:sz w:val="21"/>
                <w:szCs w:val="21"/>
              </w:rPr>
              <w:t>贾民伟</w:t>
            </w:r>
          </w:p>
        </w:tc>
        <w:tc>
          <w:tcPr>
            <w:tcW w:w="1017"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both"/>
              <w:rPr>
                <w:rFonts w:eastAsia="仿宋" w:cs="宋体"/>
                <w:color w:val="000000"/>
                <w:sz w:val="21"/>
                <w:szCs w:val="21"/>
              </w:rPr>
            </w:pPr>
            <w:r>
              <w:rPr>
                <w:rFonts w:hint="eastAsia" w:eastAsia="仿宋" w:cs="宋体"/>
                <w:color w:val="000000"/>
                <w:sz w:val="21"/>
                <w:szCs w:val="21"/>
              </w:rPr>
              <w:t>武汉理工大学保密委员会办公室主任、研究员</w:t>
            </w:r>
          </w:p>
        </w:tc>
        <w:tc>
          <w:tcPr>
            <w:tcW w:w="494" w:type="pct"/>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eastAsia="仿宋"/>
                <w:color w:val="000000"/>
                <w:sz w:val="21"/>
                <w:szCs w:val="21"/>
              </w:rPr>
            </w:pPr>
            <w:r>
              <w:rPr>
                <w:rFonts w:eastAsia="仿宋"/>
                <w:color w:val="000000"/>
                <w:sz w:val="21"/>
                <w:szCs w:val="21"/>
              </w:rPr>
              <w:t>75</w:t>
            </w:r>
          </w:p>
        </w:tc>
      </w:tr>
    </w:tbl>
    <w:p>
      <w:pPr>
        <w:spacing w:line="360" w:lineRule="exact"/>
        <w:rPr>
          <w:rFonts w:ascii="仿宋_GB2312" w:hAnsi="Times New Roman" w:eastAsia="仿宋_GB2312"/>
          <w:sz w:val="21"/>
          <w:szCs w:val="21"/>
        </w:rPr>
      </w:pPr>
      <w:r>
        <w:rPr>
          <w:rFonts w:hint="eastAsia" w:ascii="仿宋_GB2312" w:hAnsi="Times New Roman" w:eastAsia="仿宋_GB2312"/>
          <w:sz w:val="21"/>
          <w:szCs w:val="21"/>
        </w:rPr>
        <w:t xml:space="preserve">说明：1.个别课程或稍有调整，请以学习平台最终发布课程为准。 </w:t>
      </w:r>
    </w:p>
    <w:p>
      <w:pPr>
        <w:spacing w:line="360" w:lineRule="exact"/>
        <w:ind w:firstLine="630" w:firstLineChars="300"/>
        <w:rPr>
          <w:rFonts w:ascii="仿宋_GB2312" w:hAnsi="Times New Roman" w:eastAsia="仿宋_GB2312"/>
          <w:sz w:val="21"/>
          <w:szCs w:val="21"/>
        </w:rPr>
        <w:sectPr>
          <w:footerReference r:id="rId5" w:type="default"/>
          <w:pgSz w:w="11906" w:h="16838"/>
          <w:pgMar w:top="1417" w:right="1417" w:bottom="1417" w:left="1417" w:header="851" w:footer="992" w:gutter="0"/>
          <w:cols w:space="720" w:num="1"/>
          <w:docGrid w:linePitch="312" w:charSpace="0"/>
        </w:sectPr>
      </w:pPr>
      <w:r>
        <w:rPr>
          <w:rFonts w:hint="eastAsia" w:ascii="仿宋_GB2312" w:hAnsi="Times New Roman" w:eastAsia="仿宋_GB2312"/>
          <w:sz w:val="21"/>
          <w:szCs w:val="21"/>
        </w:rPr>
        <w:t>2.课程主讲人职务为课程录制时的职务。</w:t>
      </w:r>
    </w:p>
    <w:p>
      <w:pPr>
        <w:spacing w:line="240" w:lineRule="auto"/>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附件2</w:t>
      </w:r>
    </w:p>
    <w:p>
      <w:pPr>
        <w:adjustRightInd w:val="0"/>
        <w:snapToGrid w:val="0"/>
        <w:spacing w:beforeLines="50" w:afterLines="50"/>
        <w:jc w:val="center"/>
        <w:rPr>
          <w:rFonts w:ascii="黑体" w:hAnsi="黑体" w:eastAsia="黑体" w:cs="方正小标宋简体"/>
          <w:sz w:val="36"/>
          <w:szCs w:val="36"/>
        </w:rPr>
      </w:pPr>
      <w:r>
        <w:rPr>
          <w:rFonts w:hint="eastAsia" w:ascii="黑体" w:hAnsi="黑体" w:eastAsia="黑体" w:cs="方正小标宋简体"/>
          <w:sz w:val="36"/>
          <w:szCs w:val="36"/>
        </w:rPr>
        <w:t>福建省高校教师</w:t>
      </w:r>
      <w:r>
        <w:rPr>
          <w:rFonts w:ascii="Times New Roman" w:hAnsi="Times New Roman" w:eastAsia="黑体"/>
          <w:sz w:val="36"/>
          <w:szCs w:val="36"/>
        </w:rPr>
        <w:t>2022年</w:t>
      </w:r>
      <w:r>
        <w:rPr>
          <w:rFonts w:ascii="黑体" w:hAnsi="黑体" w:eastAsia="黑体" w:cs="方正小标宋简体"/>
          <w:sz w:val="36"/>
          <w:szCs w:val="36"/>
        </w:rPr>
        <w:t>思想政治和师德师风专题网络培训管理团队回执表</w:t>
      </w:r>
    </w:p>
    <w:tbl>
      <w:tblPr>
        <w:tblStyle w:val="21"/>
        <w:tblW w:w="14080" w:type="dxa"/>
        <w:tblInd w:w="0" w:type="dxa"/>
        <w:tblLayout w:type="autofit"/>
        <w:tblCellMar>
          <w:top w:w="0" w:type="dxa"/>
          <w:left w:w="108" w:type="dxa"/>
          <w:bottom w:w="0" w:type="dxa"/>
          <w:right w:w="108" w:type="dxa"/>
        </w:tblCellMar>
      </w:tblPr>
      <w:tblGrid>
        <w:gridCol w:w="1080"/>
        <w:gridCol w:w="1523"/>
        <w:gridCol w:w="1717"/>
        <w:gridCol w:w="2020"/>
        <w:gridCol w:w="1480"/>
        <w:gridCol w:w="2140"/>
        <w:gridCol w:w="4120"/>
      </w:tblGrid>
      <w:tr>
        <w:tblPrEx>
          <w:tblCellMar>
            <w:top w:w="0" w:type="dxa"/>
            <w:left w:w="108" w:type="dxa"/>
            <w:bottom w:w="0" w:type="dxa"/>
            <w:right w:w="108" w:type="dxa"/>
          </w:tblCellMar>
        </w:tblPrEx>
        <w:trPr>
          <w:trHeight w:val="600" w:hRule="atLeast"/>
        </w:trPr>
        <w:tc>
          <w:tcPr>
            <w:tcW w:w="260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 w:cs="宋体"/>
                <w:b/>
                <w:color w:val="000000"/>
                <w:sz w:val="24"/>
                <w:szCs w:val="24"/>
              </w:rPr>
            </w:pPr>
            <w:r>
              <w:rPr>
                <w:rFonts w:hint="eastAsia" w:eastAsia="仿宋" w:cs="宋体"/>
                <w:b/>
                <w:color w:val="000000"/>
                <w:sz w:val="24"/>
                <w:szCs w:val="24"/>
              </w:rPr>
              <w:t>管理人员</w:t>
            </w:r>
          </w:p>
        </w:tc>
        <w:tc>
          <w:tcPr>
            <w:tcW w:w="1717" w:type="dxa"/>
            <w:tcBorders>
              <w:top w:val="single" w:color="auto" w:sz="4" w:space="0"/>
              <w:left w:val="nil"/>
              <w:bottom w:val="single" w:color="auto" w:sz="4" w:space="0"/>
              <w:right w:val="single" w:color="auto" w:sz="4" w:space="0"/>
            </w:tcBorders>
            <w:shd w:val="clear" w:color="auto" w:fill="auto"/>
            <w:vAlign w:val="center"/>
          </w:tcPr>
          <w:p>
            <w:pPr>
              <w:jc w:val="center"/>
              <w:rPr>
                <w:rFonts w:eastAsia="仿宋" w:cs="宋体"/>
                <w:b/>
                <w:color w:val="000000"/>
                <w:sz w:val="24"/>
                <w:szCs w:val="24"/>
              </w:rPr>
            </w:pPr>
            <w:r>
              <w:rPr>
                <w:rFonts w:hint="eastAsia" w:eastAsia="仿宋" w:cs="宋体"/>
                <w:b/>
                <w:color w:val="000000"/>
                <w:sz w:val="24"/>
                <w:szCs w:val="24"/>
              </w:rPr>
              <w:t>姓名</w:t>
            </w:r>
          </w:p>
        </w:tc>
        <w:tc>
          <w:tcPr>
            <w:tcW w:w="2020" w:type="dxa"/>
            <w:tcBorders>
              <w:top w:val="single" w:color="auto" w:sz="4" w:space="0"/>
              <w:left w:val="nil"/>
              <w:bottom w:val="single" w:color="auto" w:sz="4" w:space="0"/>
              <w:right w:val="single" w:color="auto" w:sz="4" w:space="0"/>
            </w:tcBorders>
            <w:shd w:val="clear" w:color="auto" w:fill="auto"/>
            <w:vAlign w:val="center"/>
          </w:tcPr>
          <w:p>
            <w:pPr>
              <w:jc w:val="center"/>
              <w:rPr>
                <w:rFonts w:eastAsia="仿宋" w:cs="宋体"/>
                <w:b/>
                <w:color w:val="000000"/>
                <w:sz w:val="24"/>
                <w:szCs w:val="24"/>
              </w:rPr>
            </w:pPr>
            <w:r>
              <w:rPr>
                <w:rFonts w:hint="eastAsia" w:eastAsia="仿宋" w:cs="宋体"/>
                <w:b/>
                <w:color w:val="000000"/>
                <w:sz w:val="24"/>
                <w:szCs w:val="24"/>
              </w:rPr>
              <w:t>单位职务</w:t>
            </w:r>
          </w:p>
        </w:tc>
        <w:tc>
          <w:tcPr>
            <w:tcW w:w="1480" w:type="dxa"/>
            <w:tcBorders>
              <w:top w:val="single" w:color="auto" w:sz="4" w:space="0"/>
              <w:left w:val="nil"/>
              <w:bottom w:val="single" w:color="auto" w:sz="4" w:space="0"/>
              <w:right w:val="single" w:color="auto" w:sz="4" w:space="0"/>
            </w:tcBorders>
            <w:shd w:val="clear" w:color="auto" w:fill="auto"/>
            <w:vAlign w:val="center"/>
          </w:tcPr>
          <w:p>
            <w:pPr>
              <w:jc w:val="center"/>
              <w:rPr>
                <w:rFonts w:eastAsia="仿宋" w:cs="宋体"/>
                <w:b/>
                <w:color w:val="000000"/>
                <w:sz w:val="24"/>
                <w:szCs w:val="24"/>
              </w:rPr>
            </w:pPr>
            <w:r>
              <w:rPr>
                <w:rFonts w:hint="eastAsia" w:eastAsia="仿宋" w:cs="宋体"/>
                <w:b/>
                <w:color w:val="000000"/>
                <w:sz w:val="24"/>
                <w:szCs w:val="24"/>
              </w:rPr>
              <w:t>办公电话</w:t>
            </w:r>
          </w:p>
        </w:tc>
        <w:tc>
          <w:tcPr>
            <w:tcW w:w="2140" w:type="dxa"/>
            <w:tcBorders>
              <w:top w:val="single" w:color="auto" w:sz="4" w:space="0"/>
              <w:left w:val="nil"/>
              <w:bottom w:val="single" w:color="auto" w:sz="4" w:space="0"/>
              <w:right w:val="single" w:color="auto" w:sz="4" w:space="0"/>
            </w:tcBorders>
            <w:shd w:val="clear" w:color="auto" w:fill="auto"/>
            <w:vAlign w:val="center"/>
          </w:tcPr>
          <w:p>
            <w:pPr>
              <w:jc w:val="center"/>
              <w:rPr>
                <w:rFonts w:eastAsia="仿宋" w:cs="宋体"/>
                <w:b/>
                <w:color w:val="000000"/>
                <w:sz w:val="24"/>
                <w:szCs w:val="24"/>
              </w:rPr>
            </w:pPr>
            <w:r>
              <w:rPr>
                <w:rFonts w:hint="eastAsia" w:eastAsia="仿宋" w:cs="宋体"/>
                <w:b/>
                <w:color w:val="000000"/>
                <w:sz w:val="24"/>
                <w:szCs w:val="24"/>
              </w:rPr>
              <w:t>手机</w:t>
            </w:r>
          </w:p>
        </w:tc>
        <w:tc>
          <w:tcPr>
            <w:tcW w:w="4120" w:type="dxa"/>
            <w:vMerge w:val="restart"/>
            <w:tcBorders>
              <w:top w:val="single" w:color="auto" w:sz="4" w:space="0"/>
              <w:left w:val="nil"/>
              <w:right w:val="single" w:color="auto" w:sz="4" w:space="0"/>
            </w:tcBorders>
            <w:shd w:val="clear" w:color="auto" w:fill="auto"/>
            <w:vAlign w:val="center"/>
          </w:tcPr>
          <w:p>
            <w:pPr>
              <w:jc w:val="center"/>
              <w:rPr>
                <w:rFonts w:eastAsia="仿宋" w:cs="宋体"/>
                <w:b/>
                <w:color w:val="000000"/>
                <w:sz w:val="24"/>
                <w:szCs w:val="24"/>
              </w:rPr>
            </w:pPr>
            <w:r>
              <w:rPr>
                <w:rFonts w:hint="eastAsia" w:ascii="仿宋_GB2312" w:hAnsi="宋体" w:eastAsia="仿宋_GB2312" w:cs="宋体"/>
                <w:color w:val="000000"/>
                <w:sz w:val="24"/>
                <w:szCs w:val="24"/>
              </w:rPr>
              <w:t>请</w:t>
            </w:r>
            <w:r>
              <w:rPr>
                <w:rFonts w:hint="eastAsia" w:eastAsia="仿宋" w:cs="宋体"/>
                <w:b/>
                <w:color w:val="000000"/>
                <w:sz w:val="24"/>
                <w:szCs w:val="24"/>
              </w:rPr>
              <w:t>联系人在下方填写工作QQ号</w:t>
            </w:r>
          </w:p>
        </w:tc>
      </w:tr>
      <w:tr>
        <w:tblPrEx>
          <w:tblCellMar>
            <w:top w:w="0" w:type="dxa"/>
            <w:left w:w="108" w:type="dxa"/>
            <w:bottom w:w="0" w:type="dxa"/>
            <w:right w:w="108" w:type="dxa"/>
          </w:tblCellMar>
        </w:tblPrEx>
        <w:trPr>
          <w:trHeight w:val="809"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sz w:val="24"/>
                <w:szCs w:val="24"/>
              </w:rPr>
            </w:pPr>
            <w:r>
              <w:rPr>
                <w:rFonts w:hint="eastAsia" w:ascii="仿宋_GB2312" w:hAnsi="宋体" w:eastAsia="仿宋_GB2312" w:cs="宋体"/>
                <w:color w:val="000000"/>
                <w:sz w:val="24"/>
                <w:szCs w:val="24"/>
              </w:rPr>
              <w:t>XX高校</w:t>
            </w:r>
          </w:p>
        </w:tc>
        <w:tc>
          <w:tcPr>
            <w:tcW w:w="1523" w:type="dxa"/>
            <w:tcBorders>
              <w:top w:val="nil"/>
              <w:left w:val="single" w:color="auto" w:sz="4" w:space="0"/>
              <w:bottom w:val="single" w:color="auto" w:sz="4" w:space="0"/>
              <w:right w:val="single" w:color="auto" w:sz="4" w:space="0"/>
            </w:tcBorders>
            <w:shd w:val="clear" w:color="auto" w:fill="auto"/>
            <w:vAlign w:val="center"/>
          </w:tcPr>
          <w:p>
            <w:pPr>
              <w:jc w:val="center"/>
              <w:rPr>
                <w:rFonts w:eastAsia="仿宋" w:cs="宋体"/>
                <w:color w:val="000000"/>
                <w:sz w:val="24"/>
                <w:szCs w:val="24"/>
              </w:rPr>
            </w:pPr>
            <w:r>
              <w:rPr>
                <w:rFonts w:hint="eastAsia" w:eastAsia="仿宋" w:cs="宋体"/>
                <w:color w:val="000000"/>
                <w:sz w:val="24"/>
                <w:szCs w:val="24"/>
              </w:rPr>
              <w:t>负责人</w:t>
            </w:r>
          </w:p>
        </w:tc>
        <w:tc>
          <w:tcPr>
            <w:tcW w:w="1717" w:type="dxa"/>
            <w:tcBorders>
              <w:top w:val="nil"/>
              <w:left w:val="nil"/>
              <w:bottom w:val="single" w:color="auto" w:sz="4" w:space="0"/>
              <w:right w:val="single" w:color="auto" w:sz="4" w:space="0"/>
            </w:tcBorders>
            <w:shd w:val="clear" w:color="auto" w:fill="auto"/>
            <w:vAlign w:val="center"/>
          </w:tcPr>
          <w:p>
            <w:pPr>
              <w:jc w:val="center"/>
              <w:rPr>
                <w:rFonts w:eastAsia="仿宋" w:cs="宋体"/>
                <w:color w:val="000000"/>
                <w:sz w:val="24"/>
                <w:szCs w:val="24"/>
              </w:rPr>
            </w:pPr>
            <w:r>
              <w:rPr>
                <w:rFonts w:hint="eastAsia" w:eastAsia="仿宋" w:cs="宋体"/>
                <w:color w:val="000000"/>
                <w:sz w:val="24"/>
                <w:szCs w:val="24"/>
              </w:rPr>
              <w:t>　</w:t>
            </w:r>
          </w:p>
        </w:tc>
        <w:tc>
          <w:tcPr>
            <w:tcW w:w="2020" w:type="dxa"/>
            <w:tcBorders>
              <w:top w:val="nil"/>
              <w:left w:val="nil"/>
              <w:bottom w:val="single" w:color="auto" w:sz="4" w:space="0"/>
              <w:right w:val="single" w:color="auto" w:sz="4" w:space="0"/>
            </w:tcBorders>
            <w:shd w:val="clear" w:color="auto" w:fill="auto"/>
            <w:vAlign w:val="center"/>
          </w:tcPr>
          <w:p>
            <w:pPr>
              <w:rPr>
                <w:rFonts w:eastAsia="仿宋" w:cs="宋体"/>
                <w:color w:val="000000"/>
                <w:sz w:val="24"/>
                <w:szCs w:val="24"/>
              </w:rPr>
            </w:pPr>
            <w:r>
              <w:rPr>
                <w:rFonts w:hint="eastAsia" w:eastAsia="仿宋" w:cs="宋体"/>
                <w:color w:val="000000"/>
                <w:sz w:val="24"/>
                <w:szCs w:val="24"/>
              </w:rPr>
              <w:t>　</w:t>
            </w:r>
          </w:p>
        </w:tc>
        <w:tc>
          <w:tcPr>
            <w:tcW w:w="1480" w:type="dxa"/>
            <w:tcBorders>
              <w:top w:val="nil"/>
              <w:left w:val="nil"/>
              <w:bottom w:val="single" w:color="auto" w:sz="4" w:space="0"/>
              <w:right w:val="single" w:color="auto" w:sz="4" w:space="0"/>
            </w:tcBorders>
            <w:shd w:val="clear" w:color="auto" w:fill="auto"/>
          </w:tcPr>
          <w:p>
            <w:pPr>
              <w:rPr>
                <w:rFonts w:eastAsia="仿宋" w:cs="宋体"/>
                <w:color w:val="000000"/>
                <w:sz w:val="24"/>
                <w:szCs w:val="24"/>
              </w:rPr>
            </w:pPr>
            <w:r>
              <w:rPr>
                <w:rFonts w:hint="eastAsia" w:eastAsia="仿宋" w:cs="宋体"/>
                <w:color w:val="000000"/>
                <w:sz w:val="24"/>
                <w:szCs w:val="24"/>
              </w:rPr>
              <w:t>　</w:t>
            </w:r>
          </w:p>
        </w:tc>
        <w:tc>
          <w:tcPr>
            <w:tcW w:w="2140" w:type="dxa"/>
            <w:tcBorders>
              <w:top w:val="nil"/>
              <w:left w:val="nil"/>
              <w:bottom w:val="single" w:color="auto" w:sz="4" w:space="0"/>
              <w:right w:val="single" w:color="auto" w:sz="4" w:space="0"/>
            </w:tcBorders>
            <w:shd w:val="clear" w:color="auto" w:fill="auto"/>
            <w:vAlign w:val="center"/>
          </w:tcPr>
          <w:p>
            <w:pPr>
              <w:rPr>
                <w:rFonts w:eastAsia="仿宋" w:cs="宋体"/>
                <w:color w:val="000000"/>
                <w:sz w:val="24"/>
                <w:szCs w:val="24"/>
              </w:rPr>
            </w:pPr>
            <w:r>
              <w:rPr>
                <w:rFonts w:hint="eastAsia" w:eastAsia="仿宋" w:cs="宋体"/>
                <w:color w:val="000000"/>
                <w:sz w:val="24"/>
                <w:szCs w:val="24"/>
              </w:rPr>
              <w:t>　</w:t>
            </w:r>
          </w:p>
        </w:tc>
        <w:tc>
          <w:tcPr>
            <w:tcW w:w="4120" w:type="dxa"/>
            <w:vMerge w:val="continue"/>
            <w:tcBorders>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4"/>
                <w:szCs w:val="24"/>
              </w:rPr>
            </w:pPr>
          </w:p>
        </w:tc>
      </w:tr>
      <w:tr>
        <w:tblPrEx>
          <w:tblCellMar>
            <w:top w:w="0" w:type="dxa"/>
            <w:left w:w="108" w:type="dxa"/>
            <w:bottom w:w="0" w:type="dxa"/>
            <w:right w:w="108" w:type="dxa"/>
          </w:tblCellMar>
        </w:tblPrEx>
        <w:trPr>
          <w:trHeight w:val="849" w:hRule="atLeast"/>
        </w:trPr>
        <w:tc>
          <w:tcPr>
            <w:tcW w:w="1080" w:type="dxa"/>
            <w:vMerge w:val="continue"/>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szCs w:val="24"/>
              </w:rPr>
            </w:pPr>
          </w:p>
        </w:tc>
        <w:tc>
          <w:tcPr>
            <w:tcW w:w="1523" w:type="dxa"/>
            <w:tcBorders>
              <w:top w:val="nil"/>
              <w:left w:val="single" w:color="auto" w:sz="4" w:space="0"/>
              <w:bottom w:val="single" w:color="auto" w:sz="4" w:space="0"/>
              <w:right w:val="single" w:color="auto" w:sz="4" w:space="0"/>
            </w:tcBorders>
            <w:shd w:val="clear" w:color="auto" w:fill="auto"/>
            <w:vAlign w:val="center"/>
          </w:tcPr>
          <w:p>
            <w:pPr>
              <w:jc w:val="center"/>
              <w:rPr>
                <w:rFonts w:eastAsia="仿宋" w:cs="宋体"/>
                <w:color w:val="000000"/>
                <w:sz w:val="24"/>
                <w:szCs w:val="24"/>
              </w:rPr>
            </w:pPr>
            <w:r>
              <w:rPr>
                <w:rFonts w:hint="eastAsia" w:eastAsia="仿宋" w:cs="宋体"/>
                <w:color w:val="000000"/>
                <w:sz w:val="24"/>
                <w:szCs w:val="24"/>
              </w:rPr>
              <w:t>联系人</w:t>
            </w:r>
          </w:p>
        </w:tc>
        <w:tc>
          <w:tcPr>
            <w:tcW w:w="1717" w:type="dxa"/>
            <w:tcBorders>
              <w:top w:val="nil"/>
              <w:left w:val="nil"/>
              <w:bottom w:val="single" w:color="auto" w:sz="4" w:space="0"/>
              <w:right w:val="single" w:color="auto" w:sz="4" w:space="0"/>
            </w:tcBorders>
            <w:shd w:val="clear" w:color="auto" w:fill="auto"/>
            <w:vAlign w:val="center"/>
          </w:tcPr>
          <w:p>
            <w:pPr>
              <w:jc w:val="center"/>
              <w:rPr>
                <w:rFonts w:eastAsia="仿宋" w:cs="宋体"/>
                <w:color w:val="000000"/>
                <w:sz w:val="24"/>
                <w:szCs w:val="24"/>
              </w:rPr>
            </w:pPr>
            <w:r>
              <w:rPr>
                <w:rFonts w:hint="eastAsia" w:eastAsia="仿宋" w:cs="宋体"/>
                <w:color w:val="000000"/>
                <w:sz w:val="24"/>
                <w:szCs w:val="24"/>
              </w:rPr>
              <w:t>　</w:t>
            </w:r>
          </w:p>
        </w:tc>
        <w:tc>
          <w:tcPr>
            <w:tcW w:w="2020" w:type="dxa"/>
            <w:tcBorders>
              <w:top w:val="nil"/>
              <w:left w:val="nil"/>
              <w:bottom w:val="single" w:color="auto" w:sz="4" w:space="0"/>
              <w:right w:val="single" w:color="auto" w:sz="4" w:space="0"/>
            </w:tcBorders>
            <w:shd w:val="clear" w:color="auto" w:fill="auto"/>
            <w:vAlign w:val="center"/>
          </w:tcPr>
          <w:p>
            <w:pPr>
              <w:rPr>
                <w:rFonts w:eastAsia="仿宋" w:cs="宋体"/>
                <w:color w:val="000000"/>
                <w:sz w:val="24"/>
                <w:szCs w:val="24"/>
              </w:rPr>
            </w:pPr>
            <w:r>
              <w:rPr>
                <w:rFonts w:hint="eastAsia" w:eastAsia="仿宋" w:cs="宋体"/>
                <w:color w:val="000000"/>
                <w:sz w:val="24"/>
                <w:szCs w:val="24"/>
              </w:rPr>
              <w:t>　</w:t>
            </w:r>
          </w:p>
        </w:tc>
        <w:tc>
          <w:tcPr>
            <w:tcW w:w="1480" w:type="dxa"/>
            <w:tcBorders>
              <w:top w:val="nil"/>
              <w:left w:val="nil"/>
              <w:bottom w:val="single" w:color="auto" w:sz="4" w:space="0"/>
              <w:right w:val="single" w:color="auto" w:sz="4" w:space="0"/>
            </w:tcBorders>
            <w:shd w:val="clear" w:color="auto" w:fill="auto"/>
          </w:tcPr>
          <w:p>
            <w:pPr>
              <w:rPr>
                <w:rFonts w:eastAsia="仿宋" w:cs="宋体"/>
                <w:color w:val="000000"/>
                <w:sz w:val="24"/>
                <w:szCs w:val="24"/>
              </w:rPr>
            </w:pPr>
            <w:r>
              <w:rPr>
                <w:rFonts w:hint="eastAsia" w:eastAsia="仿宋" w:cs="宋体"/>
                <w:color w:val="000000"/>
                <w:sz w:val="24"/>
                <w:szCs w:val="24"/>
              </w:rPr>
              <w:t>　</w:t>
            </w:r>
          </w:p>
        </w:tc>
        <w:tc>
          <w:tcPr>
            <w:tcW w:w="2140" w:type="dxa"/>
            <w:tcBorders>
              <w:top w:val="nil"/>
              <w:left w:val="nil"/>
              <w:bottom w:val="single" w:color="auto" w:sz="4" w:space="0"/>
              <w:right w:val="single" w:color="auto" w:sz="4" w:space="0"/>
            </w:tcBorders>
            <w:shd w:val="clear" w:color="auto" w:fill="auto"/>
            <w:vAlign w:val="center"/>
          </w:tcPr>
          <w:p>
            <w:pPr>
              <w:rPr>
                <w:rFonts w:eastAsia="仿宋" w:cs="宋体"/>
                <w:color w:val="000000"/>
                <w:sz w:val="24"/>
                <w:szCs w:val="24"/>
              </w:rPr>
            </w:pPr>
            <w:r>
              <w:rPr>
                <w:rFonts w:hint="eastAsia" w:eastAsia="仿宋" w:cs="宋体"/>
                <w:color w:val="000000"/>
                <w:sz w:val="24"/>
                <w:szCs w:val="24"/>
              </w:rPr>
              <w:t>　</w:t>
            </w:r>
          </w:p>
        </w:tc>
        <w:tc>
          <w:tcPr>
            <w:tcW w:w="4120"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4"/>
                <w:szCs w:val="24"/>
              </w:rPr>
            </w:pPr>
            <w:r>
              <w:rPr>
                <w:rFonts w:hint="eastAsia" w:ascii="仿宋_GB2312" w:hAnsi="宋体" w:eastAsia="仿宋_GB2312" w:cs="宋体"/>
                <w:color w:val="000000"/>
                <w:sz w:val="24"/>
                <w:szCs w:val="24"/>
              </w:rPr>
              <w:t>　　</w:t>
            </w:r>
          </w:p>
        </w:tc>
      </w:tr>
      <w:tr>
        <w:tblPrEx>
          <w:tblCellMar>
            <w:top w:w="0" w:type="dxa"/>
            <w:left w:w="108" w:type="dxa"/>
            <w:bottom w:w="0" w:type="dxa"/>
            <w:right w:w="108" w:type="dxa"/>
          </w:tblCellMar>
        </w:tblPrEx>
        <w:trPr>
          <w:trHeight w:val="600" w:hRule="atLeast"/>
        </w:trPr>
        <w:tc>
          <w:tcPr>
            <w:tcW w:w="1080" w:type="dxa"/>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szCs w:val="24"/>
              </w:rPr>
            </w:pPr>
            <w:r>
              <w:rPr>
                <w:rFonts w:hint="eastAsia" w:ascii="仿宋_GB2312" w:hAnsi="宋体" w:eastAsia="仿宋_GB2312" w:cs="宋体"/>
                <w:color w:val="000000"/>
                <w:sz w:val="24"/>
                <w:szCs w:val="24"/>
              </w:rPr>
              <w:t>合计</w:t>
            </w:r>
          </w:p>
        </w:tc>
        <w:tc>
          <w:tcPr>
            <w:tcW w:w="13000" w:type="dxa"/>
            <w:gridSpan w:val="6"/>
            <w:tcBorders>
              <w:top w:val="nil"/>
              <w:left w:val="single" w:color="auto" w:sz="4" w:space="0"/>
              <w:bottom w:val="single" w:color="auto" w:sz="4" w:space="0"/>
              <w:right w:val="single" w:color="auto" w:sz="4" w:space="0"/>
            </w:tcBorders>
            <w:shd w:val="clear" w:color="auto" w:fill="auto"/>
            <w:vAlign w:val="center"/>
          </w:tcPr>
          <w:p>
            <w:pPr>
              <w:rPr>
                <w:rFonts w:ascii="仿宋_GB2312" w:hAnsi="宋体" w:eastAsia="仿宋_GB2312" w:cs="宋体"/>
                <w:color w:val="000000"/>
                <w:sz w:val="24"/>
                <w:szCs w:val="24"/>
              </w:rPr>
            </w:pPr>
            <w:r>
              <w:rPr>
                <w:rStyle w:val="56"/>
                <w:rFonts w:hint="eastAsia" w:ascii="仿宋_GB2312" w:eastAsia="仿宋_GB2312" w:cs="仿宋"/>
                <w:bCs/>
                <w:sz w:val="24"/>
                <w:szCs w:val="24"/>
              </w:rPr>
              <w:t>学员数量：。</w:t>
            </w:r>
          </w:p>
        </w:tc>
      </w:tr>
      <w:tr>
        <w:tblPrEx>
          <w:tblCellMar>
            <w:top w:w="0" w:type="dxa"/>
            <w:left w:w="108" w:type="dxa"/>
            <w:bottom w:w="0" w:type="dxa"/>
            <w:right w:w="108" w:type="dxa"/>
          </w:tblCellMar>
        </w:tblPrEx>
        <w:trPr>
          <w:trHeight w:val="600" w:hRule="atLeast"/>
        </w:trPr>
        <w:tc>
          <w:tcPr>
            <w:tcW w:w="14080"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eastAsia="仿宋" w:cs="宋体"/>
                <w:color w:val="000000"/>
                <w:sz w:val="24"/>
                <w:szCs w:val="24"/>
              </w:rPr>
            </w:pPr>
            <w:r>
              <w:rPr>
                <w:rFonts w:hint="eastAsia" w:eastAsia="仿宋" w:cs="宋体"/>
                <w:b/>
                <w:bCs/>
                <w:color w:val="000000"/>
                <w:sz w:val="24"/>
                <w:szCs w:val="24"/>
              </w:rPr>
              <w:t>单位意见</w:t>
            </w:r>
          </w:p>
        </w:tc>
      </w:tr>
      <w:tr>
        <w:tblPrEx>
          <w:tblCellMar>
            <w:top w:w="0" w:type="dxa"/>
            <w:left w:w="108" w:type="dxa"/>
            <w:bottom w:w="0" w:type="dxa"/>
            <w:right w:w="108" w:type="dxa"/>
          </w:tblCellMar>
        </w:tblPrEx>
        <w:trPr>
          <w:trHeight w:val="1305" w:hRule="atLeast"/>
        </w:trPr>
        <w:tc>
          <w:tcPr>
            <w:tcW w:w="1408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仿宋" w:cs="宋体"/>
                <w:color w:val="000000"/>
                <w:sz w:val="24"/>
                <w:szCs w:val="24"/>
                <w:lang w:eastAsia="zh-CN"/>
              </w:rPr>
            </w:pPr>
          </w:p>
          <w:p>
            <w:pPr>
              <w:jc w:val="center"/>
              <w:rPr>
                <w:rFonts w:hint="eastAsia" w:eastAsia="仿宋" w:cs="宋体"/>
                <w:color w:val="000000"/>
                <w:sz w:val="24"/>
                <w:szCs w:val="24"/>
                <w:lang w:eastAsia="zh-CN"/>
              </w:rPr>
            </w:pPr>
          </w:p>
          <w:p>
            <w:pPr>
              <w:jc w:val="center"/>
              <w:rPr>
                <w:rFonts w:hint="eastAsia" w:eastAsia="仿宋" w:cs="宋体"/>
                <w:color w:val="000000"/>
                <w:sz w:val="24"/>
                <w:szCs w:val="24"/>
                <w:lang w:eastAsia="zh-CN"/>
              </w:rPr>
            </w:pPr>
            <w:r>
              <w:rPr>
                <w:rFonts w:hint="eastAsia" w:eastAsia="仿宋" w:cs="宋体"/>
                <w:color w:val="000000"/>
                <w:sz w:val="24"/>
                <w:szCs w:val="24"/>
              </w:rPr>
              <w:t xml:space="preserve">                                                                                           单位（部门）盖章</w:t>
            </w:r>
          </w:p>
          <w:p>
            <w:pPr>
              <w:jc w:val="center"/>
              <w:rPr>
                <w:rFonts w:eastAsia="仿宋" w:cs="宋体"/>
                <w:color w:val="000000"/>
                <w:sz w:val="24"/>
                <w:szCs w:val="24"/>
              </w:rPr>
            </w:pPr>
            <w:r>
              <w:rPr>
                <w:rFonts w:hint="eastAsia" w:eastAsia="仿宋" w:cs="宋体"/>
                <w:color w:val="000000"/>
                <w:sz w:val="24"/>
                <w:szCs w:val="24"/>
              </w:rPr>
              <w:t xml:space="preserve">                                                                                           年    月    日</w:t>
            </w:r>
          </w:p>
        </w:tc>
      </w:tr>
    </w:tbl>
    <w:p>
      <w:pPr>
        <w:ind w:left="-613" w:leftChars="-219" w:firstLine="720" w:firstLineChars="300"/>
        <w:rPr>
          <w:rFonts w:ascii="仿宋_GB2312" w:eastAsia="仿宋_GB2312"/>
          <w:sz w:val="24"/>
          <w:szCs w:val="24"/>
        </w:rPr>
      </w:pPr>
      <w:r>
        <w:rPr>
          <w:rFonts w:hint="eastAsia" w:ascii="仿宋_GB2312" w:eastAsia="仿宋_GB2312"/>
          <w:sz w:val="24"/>
          <w:szCs w:val="24"/>
        </w:rPr>
        <w:t>说明：1.此表可进行复制或另附，报名以此表为准。</w:t>
      </w:r>
    </w:p>
    <w:p>
      <w:pPr>
        <w:ind w:left="1110" w:leftChars="-118" w:right="-454" w:rightChars="-162" w:hanging="1440" w:hangingChars="600"/>
        <w:rPr>
          <w:rFonts w:ascii="仿宋_GB2312" w:eastAsia="仿宋_GB2312"/>
          <w:sz w:val="24"/>
          <w:szCs w:val="24"/>
        </w:rPr>
      </w:pPr>
      <w:r>
        <w:rPr>
          <w:rFonts w:hint="eastAsia" w:ascii="仿宋_GB2312" w:eastAsia="仿宋_GB2312"/>
          <w:sz w:val="24"/>
          <w:szCs w:val="24"/>
        </w:rPr>
        <w:t xml:space="preserve">          2.请各高校认真填写此表，信息完善准确，便于培训期间工作联系。</w:t>
      </w:r>
    </w:p>
    <w:p>
      <w:pPr>
        <w:ind w:left="1110" w:leftChars="-118" w:right="-454" w:rightChars="-162" w:hanging="1440" w:hangingChars="600"/>
        <w:rPr>
          <w:rFonts w:ascii="仿宋_GB2312" w:eastAsia="仿宋_GB2312"/>
          <w:sz w:val="24"/>
          <w:szCs w:val="24"/>
        </w:rPr>
      </w:pPr>
    </w:p>
    <w:p>
      <w:pPr>
        <w:adjustRightInd w:val="0"/>
        <w:snapToGrid w:val="0"/>
        <w:spacing w:line="276" w:lineRule="auto"/>
        <w:rPr>
          <w:rFonts w:ascii="华文仿宋" w:hAnsi="华文仿宋" w:eastAsia="华文仿宋"/>
        </w:rPr>
        <w:sectPr>
          <w:footerReference r:id="rId6" w:type="default"/>
          <w:pgSz w:w="16838" w:h="11906" w:orient="landscape"/>
          <w:pgMar w:top="1417" w:right="1417" w:bottom="1417" w:left="1417" w:header="851" w:footer="992" w:gutter="0"/>
          <w:cols w:space="425" w:num="1"/>
          <w:docGrid w:type="lines" w:linePitch="381" w:charSpace="0"/>
        </w:sectPr>
      </w:pPr>
    </w:p>
    <w:p>
      <w:pPr>
        <w:adjustRightInd w:val="0"/>
        <w:snapToGrid w:val="0"/>
        <w:spacing w:line="276" w:lineRule="auto"/>
        <w:rPr>
          <w:rFonts w:eastAsia="仿宋" w:cs="仿宋"/>
          <w:sz w:val="32"/>
          <w:szCs w:val="32"/>
        </w:rPr>
      </w:pPr>
      <w:r>
        <w:rPr>
          <w:rFonts w:hint="eastAsia" w:eastAsia="仿宋" w:cs="仿宋"/>
          <w:sz w:val="32"/>
          <w:szCs w:val="32"/>
        </w:rPr>
        <w:t>附件3</w:t>
      </w:r>
    </w:p>
    <w:p>
      <w:pPr>
        <w:jc w:val="center"/>
        <w:rPr>
          <w:rFonts w:ascii="宋体" w:hAnsi="宋体" w:cs="宋体"/>
          <w:b/>
          <w:bCs/>
          <w:sz w:val="32"/>
          <w:szCs w:val="32"/>
        </w:rPr>
      </w:pPr>
    </w:p>
    <w:p>
      <w:pPr>
        <w:jc w:val="both"/>
        <w:rPr>
          <w:rFonts w:ascii="宋体" w:hAnsi="宋体" w:cs="宋体"/>
          <w:b/>
          <w:bCs/>
          <w:sz w:val="32"/>
          <w:szCs w:val="32"/>
        </w:rPr>
      </w:pPr>
    </w:p>
    <w:p>
      <w:pPr>
        <w:jc w:val="center"/>
        <w:rPr>
          <w:rFonts w:ascii="宋体" w:hAnsi="宋体" w:cs="宋体"/>
          <w:b/>
          <w:bCs/>
          <w:sz w:val="32"/>
          <w:szCs w:val="32"/>
        </w:rPr>
      </w:pPr>
    </w:p>
    <w:p>
      <w:pPr>
        <w:jc w:val="center"/>
        <w:rPr>
          <w:rFonts w:hint="eastAsia" w:ascii="黑体" w:hAnsi="黑体" w:eastAsia="黑体" w:cs="黑体"/>
          <w:sz w:val="44"/>
          <w:szCs w:val="44"/>
        </w:rPr>
      </w:pPr>
      <w:r>
        <w:rPr>
          <w:rFonts w:hint="eastAsia" w:ascii="黑体" w:hAnsi="黑体" w:eastAsia="黑体" w:cs="黑体"/>
          <w:sz w:val="44"/>
          <w:szCs w:val="44"/>
        </w:rPr>
        <w:t>福建省高等学校师资培训中心</w:t>
      </w:r>
    </w:p>
    <w:p>
      <w:pPr>
        <w:spacing w:line="1100" w:lineRule="exact"/>
        <w:jc w:val="center"/>
        <w:rPr>
          <w:rFonts w:ascii="黑体" w:hAnsi="黑体" w:eastAsia="黑体" w:cs="黑体"/>
          <w:sz w:val="48"/>
          <w:szCs w:val="48"/>
        </w:rPr>
      </w:pPr>
    </w:p>
    <w:p>
      <w:pPr>
        <w:spacing w:line="1100" w:lineRule="exact"/>
        <w:jc w:val="center"/>
        <w:rPr>
          <w:rFonts w:ascii="黑体" w:hAnsi="黑体" w:eastAsia="黑体" w:cs="黑体"/>
          <w:sz w:val="48"/>
          <w:szCs w:val="48"/>
        </w:rPr>
      </w:pPr>
      <w:r>
        <w:rPr>
          <w:rFonts w:hint="eastAsia" w:ascii="黑体" w:hAnsi="黑体" w:eastAsia="黑体" w:cs="黑体"/>
          <w:sz w:val="48"/>
          <w:szCs w:val="48"/>
        </w:rPr>
        <w:t>学</w:t>
      </w:r>
    </w:p>
    <w:p>
      <w:pPr>
        <w:spacing w:line="1100" w:lineRule="exact"/>
        <w:jc w:val="center"/>
        <w:rPr>
          <w:rFonts w:ascii="黑体" w:hAnsi="黑体" w:eastAsia="黑体" w:cs="黑体"/>
          <w:sz w:val="48"/>
          <w:szCs w:val="48"/>
        </w:rPr>
      </w:pPr>
      <w:r>
        <w:rPr>
          <w:rFonts w:hint="eastAsia" w:ascii="黑体" w:hAnsi="黑体" w:eastAsia="黑体" w:cs="黑体"/>
          <w:sz w:val="48"/>
          <w:szCs w:val="48"/>
        </w:rPr>
        <w:t>员</w:t>
      </w:r>
    </w:p>
    <w:p>
      <w:pPr>
        <w:spacing w:line="1100" w:lineRule="exact"/>
        <w:jc w:val="center"/>
        <w:rPr>
          <w:rFonts w:ascii="黑体" w:hAnsi="黑体" w:eastAsia="黑体" w:cs="黑体"/>
          <w:sz w:val="48"/>
          <w:szCs w:val="48"/>
        </w:rPr>
      </w:pPr>
      <w:r>
        <w:rPr>
          <w:rFonts w:hint="eastAsia" w:ascii="黑体" w:hAnsi="黑体" w:eastAsia="黑体" w:cs="黑体"/>
          <w:sz w:val="48"/>
          <w:szCs w:val="48"/>
        </w:rPr>
        <w:t>操</w:t>
      </w:r>
    </w:p>
    <w:p>
      <w:pPr>
        <w:spacing w:line="1100" w:lineRule="exact"/>
        <w:jc w:val="center"/>
        <w:rPr>
          <w:rFonts w:ascii="黑体" w:hAnsi="黑体" w:eastAsia="黑体" w:cs="黑体"/>
          <w:sz w:val="48"/>
          <w:szCs w:val="48"/>
        </w:rPr>
      </w:pPr>
      <w:r>
        <w:rPr>
          <w:rFonts w:hint="eastAsia" w:ascii="黑体" w:hAnsi="黑体" w:eastAsia="黑体" w:cs="黑体"/>
          <w:sz w:val="48"/>
          <w:szCs w:val="48"/>
        </w:rPr>
        <w:t>作</w:t>
      </w:r>
    </w:p>
    <w:p>
      <w:pPr>
        <w:spacing w:line="1100" w:lineRule="exact"/>
        <w:jc w:val="center"/>
        <w:rPr>
          <w:rFonts w:ascii="黑体" w:hAnsi="黑体" w:eastAsia="黑体" w:cs="黑体"/>
          <w:sz w:val="48"/>
          <w:szCs w:val="48"/>
        </w:rPr>
      </w:pPr>
      <w:r>
        <w:rPr>
          <w:rFonts w:hint="eastAsia" w:ascii="黑体" w:hAnsi="黑体" w:eastAsia="黑体" w:cs="黑体"/>
          <w:sz w:val="48"/>
          <w:szCs w:val="48"/>
        </w:rPr>
        <w:t>手</w:t>
      </w:r>
    </w:p>
    <w:p>
      <w:pPr>
        <w:spacing w:line="1100" w:lineRule="exact"/>
        <w:jc w:val="center"/>
        <w:rPr>
          <w:rFonts w:ascii="黑体" w:hAnsi="黑体" w:eastAsia="黑体" w:cs="黑体"/>
          <w:sz w:val="48"/>
          <w:szCs w:val="48"/>
        </w:rPr>
      </w:pPr>
      <w:r>
        <w:rPr>
          <w:rFonts w:hint="eastAsia" w:ascii="黑体" w:hAnsi="黑体" w:eastAsia="黑体" w:cs="黑体"/>
          <w:sz w:val="48"/>
          <w:szCs w:val="48"/>
        </w:rPr>
        <w:t>册</w:t>
      </w:r>
    </w:p>
    <w:p>
      <w:pPr>
        <w:pStyle w:val="2"/>
      </w:pPr>
    </w:p>
    <w:p/>
    <w:p/>
    <w:p/>
    <w:p/>
    <w:p>
      <w:pPr>
        <w:jc w:val="center"/>
        <w:rPr>
          <w:rFonts w:ascii="黑体" w:hAnsi="黑体" w:eastAsia="黑体" w:cs="黑体"/>
        </w:rPr>
      </w:pPr>
      <w:r>
        <w:rPr>
          <w:rFonts w:hint="eastAsia" w:ascii="黑体" w:hAnsi="黑体" w:eastAsia="黑体" w:cs="黑体"/>
        </w:rPr>
        <w:t>二〇二二年十一月</w:t>
      </w:r>
    </w:p>
    <w:p>
      <w:pPr>
        <w:rPr>
          <w:rFonts w:ascii="宋体" w:hAnsi="宋体" w:cs="宋体"/>
          <w:b/>
          <w:bCs/>
          <w:sz w:val="32"/>
          <w:szCs w:val="32"/>
        </w:rPr>
      </w:pPr>
    </w:p>
    <w:p>
      <w:pPr>
        <w:pStyle w:val="2"/>
        <w:sectPr>
          <w:headerReference r:id="rId7" w:type="default"/>
          <w:footerReference r:id="rId8" w:type="default"/>
          <w:pgSz w:w="11906" w:h="16838"/>
          <w:pgMar w:top="1418" w:right="1418" w:bottom="1418" w:left="1418" w:header="851" w:footer="992" w:gutter="0"/>
          <w:cols w:space="425" w:num="1"/>
          <w:docGrid w:type="lines" w:linePitch="312" w:charSpace="0"/>
        </w:sectPr>
      </w:pPr>
    </w:p>
    <w:p>
      <w:pPr>
        <w:pStyle w:val="2"/>
        <w:rPr>
          <w:szCs w:val="32"/>
        </w:rPr>
      </w:pPr>
    </w:p>
    <w:p>
      <w:pPr>
        <w:pStyle w:val="2"/>
        <w:jc w:val="center"/>
        <w:rPr>
          <w:color w:val="auto"/>
          <w:sz w:val="32"/>
          <w:szCs w:val="32"/>
        </w:rPr>
      </w:pPr>
      <w:bookmarkStart w:id="1" w:name="_Toc7617"/>
      <w:bookmarkStart w:id="2" w:name="_Toc3379"/>
      <w:bookmarkStart w:id="3" w:name="_Toc27088"/>
      <w:r>
        <w:rPr>
          <w:rFonts w:hint="eastAsia" w:ascii="宋体" w:hAnsi="宋体" w:cs="宋体"/>
          <w:color w:val="auto"/>
          <w:sz w:val="32"/>
          <w:szCs w:val="32"/>
        </w:rPr>
        <w:t>学员电脑端操作手册</w:t>
      </w:r>
      <w:bookmarkEnd w:id="1"/>
    </w:p>
    <w:p>
      <w:pPr>
        <w:pStyle w:val="2"/>
        <w:adjustRightInd w:val="0"/>
        <w:snapToGrid w:val="0"/>
        <w:spacing w:line="480" w:lineRule="exact"/>
        <w:ind w:firstLine="480" w:firstLineChars="200"/>
        <w:rPr>
          <w:rFonts w:ascii="华文仿宋" w:hAnsi="华文仿宋" w:eastAsia="华文仿宋" w:cs="华文仿宋"/>
          <w:color w:val="auto"/>
          <w:kern w:val="2"/>
          <w:sz w:val="24"/>
        </w:rPr>
      </w:pPr>
      <w:bookmarkStart w:id="4" w:name="_Toc2772"/>
      <w:r>
        <w:rPr>
          <w:rFonts w:hint="eastAsia" w:ascii="华文仿宋" w:hAnsi="华文仿宋" w:eastAsia="华文仿宋" w:cs="华文仿宋"/>
          <w:color w:val="auto"/>
          <w:kern w:val="2"/>
          <w:sz w:val="24"/>
          <w:szCs w:val="24"/>
        </w:rPr>
        <w:t>一、</w:t>
      </w:r>
      <w:bookmarkEnd w:id="2"/>
      <w:bookmarkEnd w:id="3"/>
      <w:bookmarkEnd w:id="4"/>
      <w:bookmarkStart w:id="5" w:name="OLE_LINK7"/>
      <w:bookmarkStart w:id="6" w:name="OLE_LINK6"/>
      <w:r>
        <w:rPr>
          <w:rFonts w:hint="eastAsia" w:ascii="华文仿宋" w:hAnsi="华文仿宋" w:eastAsia="华文仿宋" w:cs="华文仿宋"/>
          <w:color w:val="auto"/>
          <w:kern w:val="2"/>
          <w:sz w:val="24"/>
          <w:szCs w:val="24"/>
        </w:rPr>
        <w:t>注册登录</w:t>
      </w:r>
    </w:p>
    <w:p>
      <w:pPr>
        <w:pStyle w:val="2"/>
        <w:adjustRightInd w:val="0"/>
        <w:snapToGrid w:val="0"/>
        <w:spacing w:before="0" w:line="240" w:lineRule="auto"/>
        <w:ind w:firstLine="480" w:firstLineChars="200"/>
        <w:rPr>
          <w:rFonts w:ascii="华文仿宋" w:hAnsi="华文仿宋" w:eastAsia="华文仿宋" w:cs="华文仿宋"/>
          <w:b w:val="0"/>
          <w:color w:val="auto"/>
          <w:kern w:val="2"/>
          <w:sz w:val="24"/>
          <w:szCs w:val="24"/>
        </w:rPr>
      </w:pPr>
      <w:r>
        <w:rPr>
          <w:rFonts w:hint="eastAsia" w:ascii="华文仿宋" w:hAnsi="华文仿宋" w:eastAsia="华文仿宋" w:cs="华文仿宋"/>
          <w:b w:val="0"/>
          <w:color w:val="auto"/>
          <w:kern w:val="2"/>
          <w:sz w:val="24"/>
          <w:szCs w:val="24"/>
        </w:rPr>
        <w:t>在电脑中打开浏览器，输入网址（</w:t>
      </w:r>
      <w:r>
        <w:rPr>
          <w:rFonts w:hint="eastAsia" w:ascii="华文仿宋" w:hAnsi="华文仿宋" w:eastAsia="华文仿宋" w:cs="华文仿宋"/>
          <w:color w:val="auto"/>
          <w:sz w:val="24"/>
          <w:szCs w:val="24"/>
        </w:rPr>
        <w:t>www.tcc.edu.cn/h/2022fjszsd/）</w:t>
      </w:r>
      <w:r>
        <w:rPr>
          <w:rFonts w:hint="eastAsia" w:ascii="华文仿宋" w:hAnsi="华文仿宋" w:eastAsia="华文仿宋" w:cs="华文仿宋"/>
          <w:b w:val="0"/>
          <w:color w:val="auto"/>
          <w:kern w:val="2"/>
          <w:sz w:val="24"/>
          <w:szCs w:val="24"/>
        </w:rPr>
        <w:t>，进入培训专题页面，点击“点击报名”，按提示完成注册、登录。</w:t>
      </w:r>
    </w:p>
    <w:p/>
    <w:p>
      <w:pPr>
        <w:adjustRightInd w:val="0"/>
        <w:snapToGrid w:val="0"/>
        <w:spacing w:line="240" w:lineRule="auto"/>
        <w:jc w:val="center"/>
        <w:rPr>
          <w:rFonts w:ascii="华文仿宋" w:hAnsi="华文仿宋" w:eastAsia="华文仿宋" w:cs="华文仿宋"/>
          <w:bCs/>
          <w:sz w:val="24"/>
        </w:rPr>
      </w:pPr>
      <w:r>
        <w:rPr>
          <w:rFonts w:hint="eastAsia" w:ascii="华文仿宋" w:hAnsi="华文仿宋" w:eastAsia="华文仿宋" w:cs="华文仿宋"/>
          <w:bCs/>
          <w:sz w:val="24"/>
        </w:rPr>
        <w:drawing>
          <wp:inline distT="0" distB="0" distL="114300" distR="114300">
            <wp:extent cx="5800725" cy="2194560"/>
            <wp:effectExtent l="19050" t="0" r="0" b="0"/>
            <wp:docPr id="1" name="图片 1" descr="166867020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8670204223"/>
                    <pic:cNvPicPr>
                      <a:picLocks noChangeAspect="1"/>
                    </pic:cNvPicPr>
                  </pic:nvPicPr>
                  <pic:blipFill>
                    <a:blip r:embed="rId10"/>
                    <a:stretch>
                      <a:fillRect/>
                    </a:stretch>
                  </pic:blipFill>
                  <pic:spPr>
                    <a:xfrm>
                      <a:off x="0" y="0"/>
                      <a:ext cx="5812375" cy="2199559"/>
                    </a:xfrm>
                    <a:prstGeom prst="rect">
                      <a:avLst/>
                    </a:prstGeom>
                  </pic:spPr>
                </pic:pic>
              </a:graphicData>
            </a:graphic>
          </wp:inline>
        </w:drawing>
      </w:r>
    </w:p>
    <w:p>
      <w:pPr>
        <w:pStyle w:val="2"/>
        <w:spacing w:line="240" w:lineRule="auto"/>
        <w:jc w:val="center"/>
        <w:rPr>
          <w:color w:val="auto"/>
        </w:rPr>
      </w:pPr>
      <w:r>
        <w:rPr>
          <w:rFonts w:hint="eastAsia"/>
          <w:color w:val="auto"/>
        </w:rPr>
        <w:drawing>
          <wp:inline distT="0" distB="0" distL="114300" distR="114300">
            <wp:extent cx="2743200" cy="1652270"/>
            <wp:effectExtent l="19050" t="0" r="0" b="0"/>
            <wp:docPr id="11" name="图片 11" descr="166858018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8580184075"/>
                    <pic:cNvPicPr>
                      <a:picLocks noChangeAspect="1"/>
                    </pic:cNvPicPr>
                  </pic:nvPicPr>
                  <pic:blipFill>
                    <a:blip r:embed="rId11"/>
                    <a:stretch>
                      <a:fillRect/>
                    </a:stretch>
                  </pic:blipFill>
                  <pic:spPr>
                    <a:xfrm>
                      <a:off x="0" y="0"/>
                      <a:ext cx="2743200" cy="1652324"/>
                    </a:xfrm>
                    <a:prstGeom prst="rect">
                      <a:avLst/>
                    </a:prstGeom>
                  </pic:spPr>
                </pic:pic>
              </a:graphicData>
            </a:graphic>
          </wp:inline>
        </w:drawing>
      </w:r>
      <w:r>
        <w:rPr>
          <w:rFonts w:hint="eastAsia"/>
          <w:color w:val="auto"/>
        </w:rPr>
        <w:drawing>
          <wp:inline distT="0" distB="0" distL="114300" distR="114300">
            <wp:extent cx="2790825" cy="1671955"/>
            <wp:effectExtent l="19050" t="0" r="9525" b="0"/>
            <wp:docPr id="12" name="图片 12" descr="166858020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8580204389"/>
                    <pic:cNvPicPr>
                      <a:picLocks noChangeAspect="1"/>
                    </pic:cNvPicPr>
                  </pic:nvPicPr>
                  <pic:blipFill>
                    <a:blip r:embed="rId12"/>
                    <a:stretch>
                      <a:fillRect/>
                    </a:stretch>
                  </pic:blipFill>
                  <pic:spPr>
                    <a:xfrm>
                      <a:off x="0" y="0"/>
                      <a:ext cx="2793276" cy="1673499"/>
                    </a:xfrm>
                    <a:prstGeom prst="rect">
                      <a:avLst/>
                    </a:prstGeom>
                  </pic:spPr>
                </pic:pic>
              </a:graphicData>
            </a:graphic>
          </wp:inline>
        </w:drawing>
      </w:r>
    </w:p>
    <w:p>
      <w:pPr>
        <w:adjustRightInd w:val="0"/>
        <w:snapToGrid w:val="0"/>
        <w:spacing w:line="480" w:lineRule="exact"/>
        <w:jc w:val="center"/>
        <w:rPr>
          <w:rFonts w:ascii="华文仿宋" w:hAnsi="华文仿宋" w:eastAsia="华文仿宋" w:cs="华文仿宋"/>
          <w:sz w:val="24"/>
        </w:rPr>
      </w:pPr>
      <w:r>
        <w:rPr>
          <w:rFonts w:hint="eastAsia" w:ascii="华文仿宋" w:hAnsi="华文仿宋" w:eastAsia="华文仿宋" w:cs="华文仿宋"/>
          <w:bCs/>
          <w:sz w:val="24"/>
          <w:szCs w:val="24"/>
        </w:rPr>
        <w:t>图1 注册、登录</w:t>
      </w:r>
    </w:p>
    <w:p>
      <w:pPr>
        <w:pStyle w:val="2"/>
        <w:adjustRightInd w:val="0"/>
        <w:snapToGrid w:val="0"/>
        <w:spacing w:line="480" w:lineRule="exact"/>
        <w:ind w:firstLine="480" w:firstLineChars="200"/>
        <w:rPr>
          <w:rFonts w:ascii="华文仿宋" w:hAnsi="华文仿宋" w:eastAsia="华文仿宋" w:cs="华文仿宋"/>
          <w:color w:val="auto"/>
          <w:kern w:val="2"/>
          <w:sz w:val="24"/>
        </w:rPr>
      </w:pPr>
      <w:r>
        <w:rPr>
          <w:rFonts w:hint="eastAsia" w:ascii="华文仿宋" w:hAnsi="华文仿宋" w:eastAsia="华文仿宋" w:cs="华文仿宋"/>
          <w:color w:val="auto"/>
          <w:kern w:val="2"/>
          <w:sz w:val="24"/>
          <w:szCs w:val="24"/>
        </w:rPr>
        <w:t>二、报名选班</w:t>
      </w:r>
    </w:p>
    <w:p>
      <w:pPr>
        <w:adjustRightInd w:val="0"/>
        <w:snapToGrid w:val="0"/>
        <w:ind w:firstLine="480" w:firstLineChars="200"/>
        <w:rPr>
          <w:rFonts w:ascii="华文仿宋" w:hAnsi="华文仿宋" w:eastAsia="华文仿宋" w:cs="华文仿宋"/>
          <w:sz w:val="24"/>
        </w:rPr>
      </w:pPr>
      <w:r>
        <w:rPr>
          <w:rFonts w:hint="eastAsia" w:ascii="华文仿宋" w:hAnsi="华文仿宋" w:eastAsia="华文仿宋" w:cs="华文仿宋"/>
          <w:kern w:val="2"/>
          <w:sz w:val="24"/>
          <w:szCs w:val="24"/>
        </w:rPr>
        <w:t>注册登录后，直接进入“填写报名信息页面”，按提示完成报名、付款（0元）、选班</w:t>
      </w:r>
      <w:r>
        <w:rPr>
          <w:rFonts w:hint="eastAsia" w:ascii="华文仿宋" w:hAnsi="华文仿宋" w:eastAsia="华文仿宋" w:cs="华文仿宋"/>
          <w:sz w:val="24"/>
          <w:szCs w:val="24"/>
        </w:rPr>
        <w:t>。</w:t>
      </w:r>
    </w:p>
    <w:p>
      <w:pPr>
        <w:adjustRightInd w:val="0"/>
        <w:snapToGrid w:val="0"/>
        <w:jc w:val="center"/>
        <w:rPr>
          <w:rFonts w:ascii="华文仿宋" w:hAnsi="华文仿宋" w:eastAsia="华文仿宋" w:cs="华文仿宋"/>
          <w:sz w:val="24"/>
        </w:rPr>
      </w:pPr>
    </w:p>
    <w:p>
      <w:pPr>
        <w:adjustRightInd w:val="0"/>
        <w:snapToGrid w:val="0"/>
        <w:jc w:val="center"/>
        <w:rPr>
          <w:rFonts w:ascii="华文仿宋" w:hAnsi="华文仿宋" w:eastAsia="华文仿宋" w:cs="华文仿宋"/>
          <w:sz w:val="24"/>
        </w:rPr>
      </w:pPr>
    </w:p>
    <w:p>
      <w:pPr>
        <w:adjustRightInd w:val="0"/>
        <w:snapToGrid w:val="0"/>
        <w:spacing w:line="60" w:lineRule="exact"/>
        <w:jc w:val="center"/>
        <w:rPr>
          <w:rFonts w:ascii="华文仿宋" w:hAnsi="华文仿宋" w:eastAsia="华文仿宋" w:cs="华文仿宋"/>
          <w:sz w:val="24"/>
        </w:rPr>
      </w:pPr>
    </w:p>
    <w:p>
      <w:pPr>
        <w:adjustRightInd w:val="0"/>
        <w:snapToGrid w:val="0"/>
        <w:spacing w:line="60" w:lineRule="exact"/>
        <w:jc w:val="center"/>
        <w:rPr>
          <w:rFonts w:ascii="华文仿宋" w:hAnsi="华文仿宋" w:eastAsia="华文仿宋" w:cs="华文仿宋"/>
          <w:sz w:val="24"/>
        </w:rPr>
      </w:pPr>
    </w:p>
    <w:p>
      <w:pPr>
        <w:adjustRightInd w:val="0"/>
        <w:snapToGrid w:val="0"/>
        <w:spacing w:line="60" w:lineRule="exact"/>
        <w:jc w:val="center"/>
        <w:rPr>
          <w:rFonts w:ascii="华文仿宋" w:hAnsi="华文仿宋" w:eastAsia="华文仿宋" w:cs="华文仿宋"/>
          <w:sz w:val="24"/>
        </w:rPr>
      </w:pPr>
    </w:p>
    <w:p>
      <w:pPr>
        <w:adjustRightInd w:val="0"/>
        <w:snapToGrid w:val="0"/>
        <w:spacing w:line="60" w:lineRule="exact"/>
        <w:jc w:val="center"/>
        <w:rPr>
          <w:rFonts w:ascii="华文仿宋" w:hAnsi="华文仿宋" w:eastAsia="华文仿宋" w:cs="华文仿宋"/>
          <w:sz w:val="24"/>
        </w:rPr>
      </w:pPr>
    </w:p>
    <w:p>
      <w:pPr>
        <w:adjustRightInd w:val="0"/>
        <w:snapToGrid w:val="0"/>
        <w:spacing w:line="60" w:lineRule="exact"/>
        <w:jc w:val="center"/>
        <w:rPr>
          <w:rFonts w:ascii="华文仿宋" w:hAnsi="华文仿宋" w:eastAsia="华文仿宋" w:cs="华文仿宋"/>
          <w:sz w:val="24"/>
        </w:rPr>
      </w:pPr>
    </w:p>
    <w:p>
      <w:pPr>
        <w:adjustRightInd w:val="0"/>
        <w:snapToGrid w:val="0"/>
        <w:spacing w:line="60" w:lineRule="exact"/>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pPr>
      <w:r>
        <w:rPr>
          <w:rFonts w:hint="eastAsia"/>
        </w:rPr>
        <w:drawing>
          <wp:inline distT="0" distB="0" distL="114300" distR="114300">
            <wp:extent cx="5534025" cy="3651250"/>
            <wp:effectExtent l="19050" t="0" r="9525" b="0"/>
            <wp:docPr id="18" name="图片 18" descr="166858069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8580695543"/>
                    <pic:cNvPicPr>
                      <a:picLocks noChangeAspect="1"/>
                    </pic:cNvPicPr>
                  </pic:nvPicPr>
                  <pic:blipFill>
                    <a:blip r:embed="rId13"/>
                    <a:stretch>
                      <a:fillRect/>
                    </a:stretch>
                  </pic:blipFill>
                  <pic:spPr>
                    <a:xfrm>
                      <a:off x="0" y="0"/>
                      <a:ext cx="5534025" cy="3651532"/>
                    </a:xfrm>
                    <a:prstGeom prst="rect">
                      <a:avLst/>
                    </a:prstGeom>
                  </pic:spPr>
                </pic:pic>
              </a:graphicData>
            </a:graphic>
          </wp:inline>
        </w:drawing>
      </w:r>
      <w:r>
        <w:rPr>
          <w:rFonts w:hint="eastAsia"/>
        </w:rPr>
        <w:drawing>
          <wp:inline distT="0" distB="0" distL="114300" distR="114300">
            <wp:extent cx="5476240" cy="2686050"/>
            <wp:effectExtent l="19050" t="0" r="0" b="0"/>
            <wp:docPr id="21" name="图片 21" descr="166858072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8580728180"/>
                    <pic:cNvPicPr>
                      <a:picLocks noChangeAspect="1"/>
                    </pic:cNvPicPr>
                  </pic:nvPicPr>
                  <pic:blipFill>
                    <a:blip r:embed="rId14"/>
                    <a:stretch>
                      <a:fillRect/>
                    </a:stretch>
                  </pic:blipFill>
                  <pic:spPr>
                    <a:xfrm>
                      <a:off x="0" y="0"/>
                      <a:ext cx="5476131" cy="2685745"/>
                    </a:xfrm>
                    <a:prstGeom prst="rect">
                      <a:avLst/>
                    </a:prstGeom>
                  </pic:spPr>
                </pic:pic>
              </a:graphicData>
            </a:graphic>
          </wp:inline>
        </w:drawing>
      </w:r>
      <w:r>
        <w:rPr>
          <w:rFonts w:hint="eastAsia"/>
        </w:rPr>
        <w:drawing>
          <wp:inline distT="0" distB="0" distL="114300" distR="114300">
            <wp:extent cx="5530215" cy="2200275"/>
            <wp:effectExtent l="19050" t="0" r="0" b="0"/>
            <wp:docPr id="22" name="图片 22" descr="166858076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8580761077"/>
                    <pic:cNvPicPr>
                      <a:picLocks noChangeAspect="1"/>
                    </pic:cNvPicPr>
                  </pic:nvPicPr>
                  <pic:blipFill>
                    <a:blip r:embed="rId15"/>
                    <a:stretch>
                      <a:fillRect/>
                    </a:stretch>
                  </pic:blipFill>
                  <pic:spPr>
                    <a:xfrm>
                      <a:off x="0" y="0"/>
                      <a:ext cx="5530404" cy="2200275"/>
                    </a:xfrm>
                    <a:prstGeom prst="rect">
                      <a:avLst/>
                    </a:prstGeom>
                  </pic:spPr>
                </pic:pic>
              </a:graphicData>
            </a:graphic>
          </wp:inline>
        </w:drawing>
      </w:r>
    </w:p>
    <w:p>
      <w:pPr>
        <w:adjustRightInd w:val="0"/>
        <w:snapToGrid w:val="0"/>
        <w:spacing w:line="60" w:lineRule="exact"/>
        <w:jc w:val="center"/>
      </w:pPr>
    </w:p>
    <w:p>
      <w:pPr>
        <w:adjustRightInd w:val="0"/>
        <w:snapToGrid w:val="0"/>
        <w:spacing w:line="60" w:lineRule="exact"/>
        <w:jc w:val="center"/>
      </w:pPr>
    </w:p>
    <w:p>
      <w:pPr>
        <w:adjustRightInd w:val="0"/>
        <w:snapToGrid w:val="0"/>
        <w:spacing w:line="60" w:lineRule="exact"/>
        <w:jc w:val="center"/>
      </w:pPr>
    </w:p>
    <w:p>
      <w:pPr>
        <w:adjustRightInd w:val="0"/>
        <w:snapToGrid w:val="0"/>
        <w:spacing w:line="240" w:lineRule="auto"/>
        <w:jc w:val="center"/>
      </w:pPr>
    </w:p>
    <w:p>
      <w:pPr>
        <w:adjustRightInd w:val="0"/>
        <w:snapToGrid w:val="0"/>
        <w:spacing w:line="240" w:lineRule="auto"/>
        <w:jc w:val="center"/>
      </w:pPr>
      <w:r>
        <w:rPr>
          <w:rFonts w:hint="eastAsia"/>
        </w:rPr>
        <w:drawing>
          <wp:inline distT="0" distB="0" distL="114300" distR="114300">
            <wp:extent cx="5514975" cy="1658620"/>
            <wp:effectExtent l="0" t="0" r="9525" b="17780"/>
            <wp:docPr id="23" name="图片 23" descr="166858079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8580793816"/>
                    <pic:cNvPicPr>
                      <a:picLocks noChangeAspect="1"/>
                    </pic:cNvPicPr>
                  </pic:nvPicPr>
                  <pic:blipFill>
                    <a:blip r:embed="rId16"/>
                    <a:stretch>
                      <a:fillRect/>
                    </a:stretch>
                  </pic:blipFill>
                  <pic:spPr>
                    <a:xfrm>
                      <a:off x="0" y="0"/>
                      <a:ext cx="5514975" cy="1658620"/>
                    </a:xfrm>
                    <a:prstGeom prst="rect">
                      <a:avLst/>
                    </a:prstGeom>
                  </pic:spPr>
                </pic:pic>
              </a:graphicData>
            </a:graphic>
          </wp:inline>
        </w:drawing>
      </w:r>
    </w:p>
    <w:p>
      <w:pPr>
        <w:adjustRightInd w:val="0"/>
        <w:snapToGrid w:val="0"/>
        <w:spacing w:line="240" w:lineRule="auto"/>
        <w:jc w:val="center"/>
      </w:pPr>
      <w:r>
        <w:rPr>
          <w:rFonts w:hint="eastAsia"/>
        </w:rPr>
        <w:drawing>
          <wp:inline distT="0" distB="0" distL="114300" distR="114300">
            <wp:extent cx="5542280" cy="1219200"/>
            <wp:effectExtent l="0" t="0" r="1270" b="0"/>
            <wp:docPr id="24" name="图片 24" descr="16685808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8580820311"/>
                    <pic:cNvPicPr>
                      <a:picLocks noChangeAspect="1"/>
                    </pic:cNvPicPr>
                  </pic:nvPicPr>
                  <pic:blipFill>
                    <a:blip r:embed="rId17"/>
                    <a:stretch>
                      <a:fillRect/>
                    </a:stretch>
                  </pic:blipFill>
                  <pic:spPr>
                    <a:xfrm>
                      <a:off x="0" y="0"/>
                      <a:ext cx="5542280" cy="1219200"/>
                    </a:xfrm>
                    <a:prstGeom prst="rect">
                      <a:avLst/>
                    </a:prstGeom>
                  </pic:spPr>
                </pic:pic>
              </a:graphicData>
            </a:graphic>
          </wp:inline>
        </w:drawing>
      </w:r>
    </w:p>
    <w:p>
      <w:pPr>
        <w:adjustRightInd w:val="0"/>
        <w:snapToGrid w:val="0"/>
        <w:spacing w:line="240" w:lineRule="auto"/>
        <w:jc w:val="center"/>
      </w:pPr>
      <w:r>
        <w:rPr>
          <w:rFonts w:hint="eastAsia"/>
        </w:rPr>
        <w:drawing>
          <wp:inline distT="0" distB="0" distL="114300" distR="114300">
            <wp:extent cx="5429250" cy="2324100"/>
            <wp:effectExtent l="19050" t="0" r="0" b="0"/>
            <wp:docPr id="25" name="图片 25" descr="166858085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8580859951"/>
                    <pic:cNvPicPr>
                      <a:picLocks noChangeAspect="1"/>
                    </pic:cNvPicPr>
                  </pic:nvPicPr>
                  <pic:blipFill>
                    <a:blip r:embed="rId18"/>
                    <a:stretch>
                      <a:fillRect/>
                    </a:stretch>
                  </pic:blipFill>
                  <pic:spPr>
                    <a:xfrm>
                      <a:off x="0" y="0"/>
                      <a:ext cx="5429250" cy="2324689"/>
                    </a:xfrm>
                    <a:prstGeom prst="rect">
                      <a:avLst/>
                    </a:prstGeom>
                  </pic:spPr>
                </pic:pic>
              </a:graphicData>
            </a:graphic>
          </wp:inline>
        </w:drawing>
      </w:r>
    </w:p>
    <w:p>
      <w:pPr>
        <w:adjustRightInd w:val="0"/>
        <w:snapToGrid w:val="0"/>
        <w:jc w:val="center"/>
        <w:rPr>
          <w:rFonts w:ascii="华文仿宋" w:hAnsi="华文仿宋" w:eastAsia="华文仿宋" w:cs="华文仿宋"/>
          <w:sz w:val="24"/>
        </w:rPr>
      </w:pPr>
      <w:r>
        <w:rPr>
          <w:rFonts w:hint="eastAsia" w:ascii="华文仿宋" w:hAnsi="华文仿宋" w:eastAsia="华文仿宋" w:cs="华文仿宋"/>
          <w:sz w:val="24"/>
          <w:szCs w:val="24"/>
        </w:rPr>
        <w:t>图2</w:t>
      </w:r>
      <w:bookmarkEnd w:id="5"/>
      <w:bookmarkEnd w:id="6"/>
      <w:bookmarkStart w:id="7" w:name="_Toc6269"/>
      <w:bookmarkStart w:id="8" w:name="_Toc20013"/>
      <w:bookmarkStart w:id="9" w:name="_Toc12280"/>
      <w:r>
        <w:rPr>
          <w:rFonts w:hint="eastAsia" w:ascii="华文仿宋" w:hAnsi="华文仿宋" w:eastAsia="华文仿宋" w:cs="华文仿宋"/>
          <w:sz w:val="24"/>
          <w:szCs w:val="24"/>
        </w:rPr>
        <w:t>报名、付款、选班</w:t>
      </w:r>
    </w:p>
    <w:p>
      <w:pPr>
        <w:adjustRightInd w:val="0"/>
        <w:snapToGrid w:val="0"/>
        <w:spacing w:line="480" w:lineRule="exact"/>
        <w:ind w:firstLine="480" w:firstLineChars="200"/>
        <w:rPr>
          <w:rFonts w:ascii="华文仿宋" w:hAnsi="华文仿宋" w:eastAsia="华文仿宋" w:cs="华文仿宋"/>
          <w:b/>
          <w:sz w:val="24"/>
        </w:rPr>
      </w:pPr>
      <w:r>
        <w:rPr>
          <w:rFonts w:hint="eastAsia" w:ascii="华文仿宋" w:hAnsi="华文仿宋" w:eastAsia="华文仿宋" w:cs="华文仿宋"/>
          <w:b/>
          <w:sz w:val="24"/>
          <w:szCs w:val="24"/>
        </w:rPr>
        <w:t>三、</w:t>
      </w:r>
      <w:bookmarkEnd w:id="7"/>
      <w:bookmarkEnd w:id="8"/>
      <w:bookmarkEnd w:id="9"/>
      <w:r>
        <w:rPr>
          <w:rFonts w:hint="eastAsia" w:ascii="华文仿宋" w:hAnsi="华文仿宋" w:eastAsia="华文仿宋" w:cs="华文仿宋"/>
          <w:b/>
          <w:sz w:val="24"/>
          <w:szCs w:val="24"/>
        </w:rPr>
        <w:t>进入学习</w:t>
      </w:r>
    </w:p>
    <w:p>
      <w:pPr>
        <w:adjustRightInd w:val="0"/>
        <w:snapToGrid w:val="0"/>
        <w:spacing w:line="480" w:lineRule="exact"/>
        <w:ind w:firstLine="480" w:firstLineChars="200"/>
        <w:rPr>
          <w:rFonts w:ascii="华文仿宋" w:hAnsi="华文仿宋" w:eastAsia="华文仿宋" w:cs="华文仿宋"/>
          <w:b/>
          <w:sz w:val="24"/>
        </w:rPr>
      </w:pPr>
      <w:r>
        <w:rPr>
          <w:rFonts w:hint="eastAsia" w:ascii="华文仿宋" w:hAnsi="华文仿宋" w:eastAsia="华文仿宋" w:cs="华文仿宋"/>
          <w:b/>
          <w:sz w:val="24"/>
          <w:szCs w:val="24"/>
        </w:rPr>
        <w:t>1.进入学习</w:t>
      </w:r>
    </w:p>
    <w:p>
      <w:pPr>
        <w:adjustRightInd w:val="0"/>
        <w:snapToGrid w:val="0"/>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完成首次登录后，以后的学习可直接点击首页“登录学习”完成登录。进入“个人学习中心”，选择“自主学习”-“项目”菜单，在右侧可以看到培训项目，点击“立即学习”按钮即可进入项目页面进行研修学习。</w:t>
      </w: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r>
        <w:rPr>
          <w:rFonts w:hint="eastAsia" w:ascii="华文仿宋" w:hAnsi="华文仿宋" w:eastAsia="华文仿宋" w:cs="华文仿宋"/>
          <w:sz w:val="24"/>
        </w:rPr>
        <w:drawing>
          <wp:inline distT="0" distB="0" distL="114300" distR="114300">
            <wp:extent cx="5496560" cy="2087245"/>
            <wp:effectExtent l="19050" t="0" r="8890" b="0"/>
            <wp:docPr id="2" name="图片 2" descr="166867034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8670349405"/>
                    <pic:cNvPicPr>
                      <a:picLocks noChangeAspect="1"/>
                    </pic:cNvPicPr>
                  </pic:nvPicPr>
                  <pic:blipFill>
                    <a:blip r:embed="rId19"/>
                    <a:stretch>
                      <a:fillRect/>
                    </a:stretch>
                  </pic:blipFill>
                  <pic:spPr>
                    <a:xfrm>
                      <a:off x="0" y="0"/>
                      <a:ext cx="5498229" cy="2088097"/>
                    </a:xfrm>
                    <a:prstGeom prst="rect">
                      <a:avLst/>
                    </a:prstGeom>
                  </pic:spPr>
                </pic:pic>
              </a:graphicData>
            </a:graphic>
          </wp:inline>
        </w:drawing>
      </w:r>
    </w:p>
    <w:p>
      <w:pPr>
        <w:adjustRightInd w:val="0"/>
        <w:snapToGrid w:val="0"/>
        <w:spacing w:line="240" w:lineRule="auto"/>
        <w:jc w:val="center"/>
        <w:rPr>
          <w:rFonts w:ascii="华文仿宋" w:hAnsi="华文仿宋" w:eastAsia="华文仿宋" w:cs="华文仿宋"/>
          <w:sz w:val="24"/>
        </w:rPr>
      </w:pPr>
      <w:r>
        <w:rPr>
          <w:rFonts w:hint="eastAsia" w:ascii="华文仿宋" w:hAnsi="华文仿宋" w:eastAsia="华文仿宋" w:cs="华文仿宋"/>
          <w:sz w:val="24"/>
        </w:rPr>
        <w:drawing>
          <wp:inline distT="0" distB="0" distL="114300" distR="114300">
            <wp:extent cx="5467350" cy="1600200"/>
            <wp:effectExtent l="19050" t="0" r="0" b="0"/>
            <wp:docPr id="27" name="图片 27" descr="166858116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8581164178"/>
                    <pic:cNvPicPr>
                      <a:picLocks noChangeAspect="1"/>
                    </pic:cNvPicPr>
                  </pic:nvPicPr>
                  <pic:blipFill>
                    <a:blip r:embed="rId20"/>
                    <a:stretch>
                      <a:fillRect/>
                    </a:stretch>
                  </pic:blipFill>
                  <pic:spPr>
                    <a:xfrm>
                      <a:off x="0" y="0"/>
                      <a:ext cx="5467350" cy="1600449"/>
                    </a:xfrm>
                    <a:prstGeom prst="rect">
                      <a:avLst/>
                    </a:prstGeom>
                  </pic:spPr>
                </pic:pic>
              </a:graphicData>
            </a:graphic>
          </wp:inline>
        </w:drawing>
      </w:r>
    </w:p>
    <w:p>
      <w:pPr>
        <w:pStyle w:val="2"/>
        <w:adjustRightInd w:val="0"/>
        <w:snapToGrid w:val="0"/>
        <w:spacing w:line="240" w:lineRule="auto"/>
        <w:ind w:left="425" w:hanging="425"/>
        <w:jc w:val="center"/>
        <w:rPr>
          <w:rFonts w:ascii="华文仿宋" w:hAnsi="华文仿宋" w:eastAsia="华文仿宋" w:cs="华文仿宋"/>
          <w:color w:val="auto"/>
          <w:sz w:val="24"/>
        </w:rPr>
      </w:pPr>
      <w:r>
        <w:rPr>
          <w:rFonts w:ascii="宋体" w:hAnsi="宋体" w:cs="宋体"/>
          <w:color w:val="auto"/>
          <w:sz w:val="24"/>
        </w:rPr>
        <w:drawing>
          <wp:inline distT="0" distB="0" distL="114300" distR="114300">
            <wp:extent cx="5563235" cy="2522220"/>
            <wp:effectExtent l="1905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21"/>
                    <a:stretch>
                      <a:fillRect/>
                    </a:stretch>
                  </pic:blipFill>
                  <pic:spPr>
                    <a:xfrm>
                      <a:off x="0" y="0"/>
                      <a:ext cx="5563932" cy="2523101"/>
                    </a:xfrm>
                    <a:prstGeom prst="rect">
                      <a:avLst/>
                    </a:prstGeom>
                    <a:noFill/>
                    <a:ln w="9525">
                      <a:noFill/>
                    </a:ln>
                  </pic:spPr>
                </pic:pic>
              </a:graphicData>
            </a:graphic>
          </wp:inline>
        </w:drawing>
      </w:r>
    </w:p>
    <w:p>
      <w:pPr>
        <w:adjustRightInd w:val="0"/>
        <w:snapToGrid w:val="0"/>
        <w:jc w:val="center"/>
        <w:rPr>
          <w:rFonts w:ascii="华文仿宋" w:hAnsi="华文仿宋" w:eastAsia="华文仿宋" w:cs="华文仿宋"/>
          <w:bCs/>
          <w:sz w:val="24"/>
        </w:rPr>
      </w:pPr>
      <w:r>
        <w:rPr>
          <w:rFonts w:hint="eastAsia" w:ascii="华文仿宋" w:hAnsi="华文仿宋" w:eastAsia="华文仿宋" w:cs="华文仿宋"/>
          <w:bCs/>
          <w:sz w:val="24"/>
          <w:szCs w:val="24"/>
        </w:rPr>
        <w:t>图3-1 进入学习</w:t>
      </w:r>
    </w:p>
    <w:p>
      <w:pPr>
        <w:adjustRightInd w:val="0"/>
        <w:snapToGrid w:val="0"/>
        <w:spacing w:line="480" w:lineRule="exact"/>
        <w:ind w:firstLine="480" w:firstLineChars="200"/>
        <w:rPr>
          <w:rFonts w:ascii="华文仿宋" w:hAnsi="华文仿宋" w:eastAsia="华文仿宋" w:cs="华文仿宋"/>
          <w:b/>
          <w:sz w:val="24"/>
        </w:rPr>
      </w:pPr>
      <w:r>
        <w:rPr>
          <w:rFonts w:hint="eastAsia" w:ascii="华文仿宋" w:hAnsi="华文仿宋" w:eastAsia="华文仿宋" w:cs="华文仿宋"/>
          <w:b/>
          <w:sz w:val="24"/>
          <w:szCs w:val="24"/>
        </w:rPr>
        <w:t>2课程学习</w:t>
      </w:r>
    </w:p>
    <w:p>
      <w:pPr>
        <w:adjustRightInd w:val="0"/>
        <w:snapToGrid w:val="0"/>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点击“我的课堂”。查看列表中的“学习进度”了解每门课程的学习情况，点击“学习”观看课程，系统自动记录观看时长。</w:t>
      </w: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r>
        <w:rPr>
          <w:rFonts w:hint="eastAsia" w:ascii="华文仿宋" w:hAnsi="华文仿宋" w:eastAsia="华文仿宋" w:cs="华文仿宋"/>
          <w:sz w:val="24"/>
        </w:rPr>
        <w:drawing>
          <wp:inline distT="0" distB="0" distL="114300" distR="114300">
            <wp:extent cx="3738245" cy="2371725"/>
            <wp:effectExtent l="19050" t="0" r="0" b="0"/>
            <wp:docPr id="32" name="图片 32" descr="166858133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8581334057"/>
                    <pic:cNvPicPr>
                      <a:picLocks noChangeAspect="1"/>
                    </pic:cNvPicPr>
                  </pic:nvPicPr>
                  <pic:blipFill>
                    <a:blip r:embed="rId22"/>
                    <a:stretch>
                      <a:fillRect/>
                    </a:stretch>
                  </pic:blipFill>
                  <pic:spPr>
                    <a:xfrm>
                      <a:off x="0" y="0"/>
                      <a:ext cx="3741601" cy="2373805"/>
                    </a:xfrm>
                    <a:prstGeom prst="rect">
                      <a:avLst/>
                    </a:prstGeom>
                  </pic:spPr>
                </pic:pic>
              </a:graphicData>
            </a:graphic>
          </wp:inline>
        </w:drawing>
      </w:r>
      <w:r>
        <w:rPr>
          <w:rFonts w:hint="eastAsia" w:ascii="华文仿宋" w:hAnsi="华文仿宋" w:eastAsia="华文仿宋" w:cs="华文仿宋"/>
          <w:sz w:val="24"/>
        </w:rPr>
        <w:drawing>
          <wp:inline distT="0" distB="0" distL="114300" distR="114300">
            <wp:extent cx="3630295" cy="2438400"/>
            <wp:effectExtent l="19050" t="0" r="8127" b="0"/>
            <wp:docPr id="33" name="图片 33" descr="166858139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581390357"/>
                    <pic:cNvPicPr>
                      <a:picLocks noChangeAspect="1"/>
                    </pic:cNvPicPr>
                  </pic:nvPicPr>
                  <pic:blipFill>
                    <a:blip r:embed="rId23"/>
                    <a:stretch>
                      <a:fillRect/>
                    </a:stretch>
                  </pic:blipFill>
                  <pic:spPr>
                    <a:xfrm>
                      <a:off x="0" y="0"/>
                      <a:ext cx="3639501" cy="2444497"/>
                    </a:xfrm>
                    <a:prstGeom prst="rect">
                      <a:avLst/>
                    </a:prstGeom>
                  </pic:spPr>
                </pic:pic>
              </a:graphicData>
            </a:graphic>
          </wp:inline>
        </w:drawing>
      </w:r>
    </w:p>
    <w:p>
      <w:pPr>
        <w:adjustRightInd w:val="0"/>
        <w:snapToGrid w:val="0"/>
        <w:jc w:val="center"/>
        <w:rPr>
          <w:rFonts w:ascii="华文仿宋" w:hAnsi="华文仿宋" w:eastAsia="华文仿宋" w:cs="华文仿宋"/>
          <w:sz w:val="24"/>
        </w:rPr>
      </w:pPr>
      <w:r>
        <w:rPr>
          <w:rFonts w:hint="eastAsia" w:ascii="华文仿宋" w:hAnsi="华文仿宋" w:eastAsia="华文仿宋" w:cs="华文仿宋"/>
          <w:bCs/>
          <w:sz w:val="24"/>
          <w:szCs w:val="24"/>
        </w:rPr>
        <w:t>图3-2课程学习页面</w:t>
      </w:r>
    </w:p>
    <w:p>
      <w:pPr>
        <w:adjustRightInd w:val="0"/>
        <w:snapToGrid w:val="0"/>
        <w:spacing w:line="480" w:lineRule="exact"/>
        <w:ind w:firstLine="480" w:firstLineChars="200"/>
        <w:rPr>
          <w:rFonts w:ascii="华文仿宋" w:hAnsi="华文仿宋" w:eastAsia="华文仿宋" w:cs="华文仿宋"/>
          <w:b/>
          <w:sz w:val="24"/>
        </w:rPr>
      </w:pPr>
      <w:r>
        <w:rPr>
          <w:rFonts w:hint="eastAsia" w:ascii="华文仿宋" w:hAnsi="华文仿宋" w:eastAsia="华文仿宋" w:cs="华文仿宋"/>
          <w:b/>
          <w:sz w:val="24"/>
          <w:szCs w:val="24"/>
        </w:rPr>
        <w:t>三、项目证书</w:t>
      </w:r>
    </w:p>
    <w:p>
      <w:pPr>
        <w:pStyle w:val="2"/>
        <w:tabs>
          <w:tab w:val="left" w:pos="7830"/>
        </w:tabs>
        <w:adjustRightInd w:val="0"/>
        <w:snapToGrid w:val="0"/>
        <w:spacing w:before="0" w:line="240" w:lineRule="auto"/>
        <w:ind w:firstLine="480" w:firstLineChars="200"/>
        <w:rPr>
          <w:rFonts w:ascii="华文仿宋" w:hAnsi="华文仿宋" w:eastAsia="华文仿宋" w:cs="华文仿宋"/>
          <w:b w:val="0"/>
          <w:color w:val="auto"/>
          <w:sz w:val="24"/>
          <w:szCs w:val="24"/>
        </w:rPr>
      </w:pPr>
      <w:r>
        <w:rPr>
          <w:rFonts w:hint="eastAsia" w:ascii="华文仿宋" w:hAnsi="华文仿宋" w:eastAsia="华文仿宋" w:cs="华文仿宋"/>
          <w:b w:val="0"/>
          <w:color w:val="auto"/>
          <w:sz w:val="24"/>
          <w:szCs w:val="24"/>
        </w:rPr>
        <w:t>参加学员完成考核要求后，可在“项目证书”处查看、下载电子证书。</w:t>
      </w:r>
    </w:p>
    <w:p>
      <w:pPr>
        <w:spacing w:line="60" w:lineRule="exact"/>
      </w:pPr>
    </w:p>
    <w:p>
      <w:pPr>
        <w:spacing w:line="60" w:lineRule="exact"/>
      </w:pPr>
    </w:p>
    <w:p>
      <w:pPr>
        <w:spacing w:line="60" w:lineRule="exact"/>
      </w:pPr>
    </w:p>
    <w:p>
      <w:pPr>
        <w:adjustRightInd w:val="0"/>
        <w:snapToGrid w:val="0"/>
        <w:spacing w:line="240" w:lineRule="auto"/>
        <w:jc w:val="center"/>
        <w:rPr>
          <w:rFonts w:ascii="华文仿宋" w:hAnsi="华文仿宋" w:eastAsia="华文仿宋" w:cs="华文仿宋"/>
          <w:bCs/>
          <w:sz w:val="24"/>
        </w:rPr>
      </w:pPr>
      <w:r>
        <w:rPr>
          <w:rFonts w:hint="eastAsia" w:ascii="华文仿宋" w:hAnsi="华文仿宋" w:eastAsia="华文仿宋" w:cs="华文仿宋"/>
          <w:bCs/>
          <w:sz w:val="24"/>
        </w:rPr>
        <w:drawing>
          <wp:inline distT="0" distB="0" distL="114300" distR="114300">
            <wp:extent cx="4576445" cy="2667000"/>
            <wp:effectExtent l="19050" t="0" r="0" b="0"/>
            <wp:docPr id="34" name="图片 34" descr="166858155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8581556451"/>
                    <pic:cNvPicPr>
                      <a:picLocks noChangeAspect="1"/>
                    </pic:cNvPicPr>
                  </pic:nvPicPr>
                  <pic:blipFill>
                    <a:blip r:embed="rId24" cstate="print"/>
                    <a:stretch>
                      <a:fillRect/>
                    </a:stretch>
                  </pic:blipFill>
                  <pic:spPr>
                    <a:xfrm>
                      <a:off x="0" y="0"/>
                      <a:ext cx="4576458" cy="2667000"/>
                    </a:xfrm>
                    <a:prstGeom prst="rect">
                      <a:avLst/>
                    </a:prstGeom>
                  </pic:spPr>
                </pic:pic>
              </a:graphicData>
            </a:graphic>
          </wp:inline>
        </w:drawing>
      </w:r>
    </w:p>
    <w:p>
      <w:pPr>
        <w:adjustRightInd w:val="0"/>
        <w:snapToGrid w:val="0"/>
        <w:jc w:val="center"/>
        <w:rPr>
          <w:rFonts w:ascii="华文仿宋" w:hAnsi="华文仿宋" w:eastAsia="华文仿宋" w:cs="华文仿宋"/>
          <w:sz w:val="24"/>
        </w:rPr>
      </w:pPr>
      <w:r>
        <w:rPr>
          <w:rFonts w:hint="eastAsia" w:ascii="华文仿宋" w:hAnsi="华文仿宋" w:eastAsia="华文仿宋" w:cs="华文仿宋"/>
          <w:bCs/>
          <w:sz w:val="24"/>
          <w:szCs w:val="24"/>
        </w:rPr>
        <w:t>图3项目证书</w:t>
      </w:r>
    </w:p>
    <w:p>
      <w:pPr>
        <w:pStyle w:val="2"/>
        <w:adjustRightInd w:val="0"/>
        <w:snapToGrid w:val="0"/>
        <w:spacing w:line="480" w:lineRule="exact"/>
        <w:ind w:firstLine="480" w:firstLineChars="200"/>
        <w:rPr>
          <w:rFonts w:ascii="华文仿宋" w:hAnsi="华文仿宋" w:eastAsia="华文仿宋" w:cs="华文仿宋"/>
          <w:color w:val="auto"/>
          <w:kern w:val="2"/>
          <w:sz w:val="24"/>
        </w:rPr>
      </w:pPr>
      <w:bookmarkStart w:id="10" w:name="_Toc27878"/>
      <w:bookmarkStart w:id="11" w:name="_Toc6321"/>
      <w:bookmarkStart w:id="12" w:name="_Toc9658"/>
      <w:r>
        <w:rPr>
          <w:rFonts w:hint="eastAsia" w:ascii="华文仿宋" w:hAnsi="华文仿宋" w:eastAsia="华文仿宋" w:cs="华文仿宋"/>
          <w:color w:val="auto"/>
          <w:kern w:val="2"/>
          <w:sz w:val="24"/>
          <w:szCs w:val="24"/>
        </w:rPr>
        <w:t>四、常见问题</w:t>
      </w:r>
      <w:bookmarkEnd w:id="10"/>
      <w:bookmarkEnd w:id="11"/>
      <w:bookmarkEnd w:id="12"/>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1.请学员报名后密切关注教师培训云平台“公告简报”处的相应通知。</w:t>
      </w:r>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2.系统报名、学习过程中如有技术问题，请通过以下方式联系咨询：</w:t>
      </w:r>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（1）通过平台登录后的客服浮窗咨询客服老师：</w:t>
      </w:r>
    </w:p>
    <w:p>
      <w:pPr>
        <w:adjustRightInd w:val="0"/>
        <w:snapToGrid w:val="0"/>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周一至周五：上午8:30-12:00，下午13:00-17:30</w:t>
      </w:r>
    </w:p>
    <w:p>
      <w:pPr>
        <w:pStyle w:val="2"/>
        <w:adjustRightInd w:val="0"/>
        <w:snapToGrid w:val="0"/>
        <w:spacing w:line="240" w:lineRule="auto"/>
        <w:jc w:val="center"/>
        <w:rPr>
          <w:rFonts w:ascii="华文仿宋" w:hAnsi="华文仿宋" w:eastAsia="华文仿宋" w:cs="华文仿宋"/>
          <w:color w:val="auto"/>
          <w:sz w:val="24"/>
        </w:rPr>
      </w:pPr>
      <w:r>
        <w:rPr>
          <w:rFonts w:hint="eastAsia" w:ascii="华文仿宋" w:hAnsi="华文仿宋" w:eastAsia="华文仿宋" w:cs="华文仿宋"/>
          <w:color w:val="auto"/>
          <w:sz w:val="24"/>
        </w:rPr>
        <w:drawing>
          <wp:inline distT="0" distB="0" distL="114300" distR="114300">
            <wp:extent cx="4991735" cy="2346960"/>
            <wp:effectExtent l="0" t="0" r="18415" b="15240"/>
            <wp:docPr id="30" name="图片 30" descr="165458487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54584872343"/>
                    <pic:cNvPicPr>
                      <a:picLocks noChangeAspect="1"/>
                    </pic:cNvPicPr>
                  </pic:nvPicPr>
                  <pic:blipFill>
                    <a:blip r:embed="rId25"/>
                    <a:stretch>
                      <a:fillRect/>
                    </a:stretch>
                  </pic:blipFill>
                  <pic:spPr>
                    <a:xfrm>
                      <a:off x="0" y="0"/>
                      <a:ext cx="4991735" cy="2346960"/>
                    </a:xfrm>
                    <a:prstGeom prst="rect">
                      <a:avLst/>
                    </a:prstGeom>
                  </pic:spPr>
                </pic:pic>
              </a:graphicData>
            </a:graphic>
          </wp:inline>
        </w:drawing>
      </w:r>
    </w:p>
    <w:p>
      <w:pPr>
        <w:adjustRightInd w:val="0"/>
        <w:snapToGrid w:val="0"/>
        <w:jc w:val="center"/>
        <w:rPr>
          <w:rFonts w:ascii="华文仿宋" w:hAnsi="华文仿宋" w:eastAsia="华文仿宋" w:cs="华文仿宋"/>
          <w:sz w:val="24"/>
        </w:rPr>
      </w:pPr>
      <w:r>
        <w:rPr>
          <w:rFonts w:hint="eastAsia" w:ascii="华文仿宋" w:hAnsi="华文仿宋" w:eastAsia="华文仿宋" w:cs="华文仿宋"/>
          <w:bCs/>
          <w:sz w:val="24"/>
          <w:szCs w:val="24"/>
        </w:rPr>
        <w:t>图4-1客服浮窗咨询</w:t>
      </w:r>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（2）直接拨打学员技术服务热线电话：4008757650</w:t>
      </w:r>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服务时间：上午8:30-12:00；下午13:00-22:00；周末及节假日照常值班</w:t>
      </w:r>
    </w:p>
    <w:p>
      <w:pPr>
        <w:adjustRightInd w:val="0"/>
        <w:snapToGrid w:val="0"/>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（3）通过平台登录后页面右侧的“平台操作咨询”窗口留言咨询。</w:t>
      </w:r>
    </w:p>
    <w:p>
      <w:pPr>
        <w:pStyle w:val="2"/>
        <w:adjustRightInd w:val="0"/>
        <w:snapToGrid w:val="0"/>
        <w:spacing w:line="240" w:lineRule="auto"/>
        <w:ind w:left="425"/>
        <w:jc w:val="center"/>
        <w:rPr>
          <w:rFonts w:ascii="华文仿宋" w:hAnsi="华文仿宋" w:eastAsia="华文仿宋" w:cs="华文仿宋"/>
          <w:color w:val="auto"/>
          <w:sz w:val="24"/>
        </w:rPr>
      </w:pPr>
      <w:r>
        <w:rPr>
          <w:rFonts w:hint="eastAsia" w:ascii="华文仿宋" w:hAnsi="华文仿宋" w:eastAsia="华文仿宋" w:cs="华文仿宋"/>
          <w:color w:val="auto"/>
          <w:sz w:val="24"/>
        </w:rPr>
        <w:drawing>
          <wp:inline distT="0" distB="0" distL="114300" distR="114300">
            <wp:extent cx="4943475" cy="2334260"/>
            <wp:effectExtent l="0" t="0" r="9525" b="8890"/>
            <wp:docPr id="31" name="图片 31" descr="16545849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54584903353"/>
                    <pic:cNvPicPr>
                      <a:picLocks noChangeAspect="1"/>
                    </pic:cNvPicPr>
                  </pic:nvPicPr>
                  <pic:blipFill>
                    <a:blip r:embed="rId26"/>
                    <a:stretch>
                      <a:fillRect/>
                    </a:stretch>
                  </pic:blipFill>
                  <pic:spPr>
                    <a:xfrm>
                      <a:off x="0" y="0"/>
                      <a:ext cx="4943475" cy="2334260"/>
                    </a:xfrm>
                    <a:prstGeom prst="rect">
                      <a:avLst/>
                    </a:prstGeom>
                  </pic:spPr>
                </pic:pic>
              </a:graphicData>
            </a:graphic>
          </wp:inline>
        </w:drawing>
      </w:r>
    </w:p>
    <w:p>
      <w:pPr>
        <w:adjustRightInd w:val="0"/>
        <w:snapToGrid w:val="0"/>
        <w:jc w:val="center"/>
        <w:rPr>
          <w:rFonts w:ascii="华文仿宋" w:hAnsi="华文仿宋" w:eastAsia="华文仿宋" w:cs="华文仿宋"/>
          <w:sz w:val="24"/>
        </w:rPr>
      </w:pPr>
      <w:r>
        <w:rPr>
          <w:rFonts w:hint="eastAsia" w:ascii="华文仿宋" w:hAnsi="华文仿宋" w:eastAsia="华文仿宋" w:cs="华文仿宋"/>
          <w:bCs/>
          <w:sz w:val="24"/>
          <w:szCs w:val="24"/>
        </w:rPr>
        <w:t>图4-2咨询窗口留言</w:t>
      </w:r>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3.平台兼容哪些浏览器？</w:t>
      </w:r>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建议使用IE10及以上版本、谷歌、360安全浏览器（极速模式）</w:t>
      </w:r>
    </w:p>
    <w:p>
      <w:pPr>
        <w:adjustRightInd w:val="0"/>
        <w:snapToGrid w:val="0"/>
        <w:spacing w:line="480" w:lineRule="exact"/>
        <w:ind w:firstLine="480" w:firstLineChars="200"/>
        <w:rPr>
          <w:rFonts w:ascii="华文仿宋" w:hAnsi="华文仿宋" w:eastAsia="华文仿宋" w:cs="华文仿宋"/>
          <w:sz w:val="24"/>
        </w:rPr>
      </w:pPr>
      <w:r>
        <w:rPr>
          <w:rFonts w:hint="eastAsia" w:ascii="华文仿宋" w:hAnsi="华文仿宋" w:eastAsia="华文仿宋" w:cs="华文仿宋"/>
          <w:sz w:val="24"/>
          <w:szCs w:val="24"/>
        </w:rPr>
        <w:t>4．谷歌浏览器不能播放课程？</w:t>
      </w:r>
    </w:p>
    <w:p>
      <w:pPr>
        <w:adjustRightInd w:val="0"/>
        <w:snapToGrid w:val="0"/>
        <w:ind w:firstLine="480" w:firstLineChars="200"/>
        <w:rPr>
          <w:rFonts w:ascii="华文仿宋" w:hAnsi="华文仿宋" w:eastAsia="华文仿宋" w:cs="华文仿宋"/>
          <w:sz w:val="24"/>
          <w:szCs w:val="24"/>
        </w:rPr>
      </w:pPr>
      <w:r>
        <w:rPr>
          <w:rFonts w:hint="eastAsia" w:ascii="华文仿宋" w:hAnsi="华文仿宋" w:eastAsia="华文仿宋" w:cs="华文仿宋"/>
          <w:sz w:val="24"/>
          <w:szCs w:val="24"/>
        </w:rPr>
        <w:t>在谷歌浏览器中学习视频课程，如遇课程不能播放，根据浏览器界面的提示运行flash。</w:t>
      </w:r>
    </w:p>
    <w:p>
      <w:pPr>
        <w:adjustRightInd w:val="0"/>
        <w:snapToGrid w:val="0"/>
        <w:ind w:firstLine="480" w:firstLineChars="200"/>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r>
        <w:rPr>
          <w:rFonts w:hint="eastAsia" w:ascii="华文仿宋" w:hAnsi="华文仿宋" w:eastAsia="华文仿宋" w:cs="华文仿宋"/>
          <w:sz w:val="24"/>
        </w:rPr>
        <w:drawing>
          <wp:inline distT="0" distB="0" distL="0" distR="0">
            <wp:extent cx="5266055" cy="1704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74310" cy="1707520"/>
                    </a:xfrm>
                    <a:prstGeom prst="rect">
                      <a:avLst/>
                    </a:prstGeom>
                  </pic:spPr>
                </pic:pic>
              </a:graphicData>
            </a:graphic>
          </wp:inline>
        </w:drawing>
      </w:r>
    </w:p>
    <w:p>
      <w:pPr>
        <w:adjustRightInd w:val="0"/>
        <w:snapToGrid w:val="0"/>
        <w:jc w:val="center"/>
        <w:rPr>
          <w:rFonts w:ascii="华文仿宋" w:hAnsi="华文仿宋" w:eastAsia="华文仿宋" w:cs="华文仿宋"/>
          <w:sz w:val="24"/>
        </w:rPr>
      </w:pPr>
      <w:r>
        <w:rPr>
          <w:rFonts w:hint="eastAsia" w:ascii="华文仿宋" w:hAnsi="华文仿宋" w:eastAsia="华文仿宋" w:cs="华文仿宋"/>
          <w:bCs/>
          <w:sz w:val="24"/>
          <w:szCs w:val="24"/>
        </w:rPr>
        <w:t>图4-3 谷歌浏览器</w:t>
      </w:r>
    </w:p>
    <w:p>
      <w:pPr>
        <w:adjustRightInd w:val="0"/>
        <w:snapToGrid w:val="0"/>
        <w:ind w:firstLine="480" w:firstLineChars="200"/>
        <w:rPr>
          <w:rFonts w:ascii="华文仿宋" w:hAnsi="华文仿宋" w:eastAsia="华文仿宋" w:cs="华文仿宋"/>
          <w:sz w:val="24"/>
          <w:szCs w:val="24"/>
        </w:rPr>
      </w:pPr>
      <w:r>
        <w:rPr>
          <w:rFonts w:hint="eastAsia" w:ascii="华文仿宋" w:hAnsi="华文仿宋" w:eastAsia="华文仿宋" w:cs="华文仿宋"/>
          <w:sz w:val="24"/>
          <w:szCs w:val="24"/>
        </w:rPr>
        <w:t>如果在谷歌浏览器中禁用了flash，需在浏览器设置中开启，设置方式：在Chrome地址栏中输入：chrome://settings/content/flash，进入flash设置，勾选允许网站运行flash。</w:t>
      </w:r>
    </w:p>
    <w:p>
      <w:pPr>
        <w:adjustRightInd w:val="0"/>
        <w:snapToGrid w:val="0"/>
        <w:ind w:firstLine="480" w:firstLineChars="200"/>
        <w:rPr>
          <w:rFonts w:ascii="华文仿宋" w:hAnsi="华文仿宋" w:eastAsia="华文仿宋" w:cs="华文仿宋"/>
          <w:sz w:val="24"/>
        </w:rPr>
      </w:pPr>
    </w:p>
    <w:p>
      <w:pPr>
        <w:adjustRightInd w:val="0"/>
        <w:snapToGrid w:val="0"/>
        <w:spacing w:line="240" w:lineRule="auto"/>
        <w:jc w:val="center"/>
        <w:rPr>
          <w:rFonts w:ascii="华文仿宋" w:hAnsi="华文仿宋" w:eastAsia="华文仿宋" w:cs="华文仿宋"/>
          <w:sz w:val="24"/>
        </w:rPr>
      </w:pPr>
      <w:r>
        <w:rPr>
          <w:rFonts w:hint="eastAsia" w:ascii="华文仿宋" w:hAnsi="华文仿宋" w:eastAsia="华文仿宋" w:cs="华文仿宋"/>
          <w:sz w:val="24"/>
        </w:rPr>
        <w:drawing>
          <wp:inline distT="0" distB="0" distL="0" distR="0">
            <wp:extent cx="5266690" cy="1771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1774000"/>
                    </a:xfrm>
                    <a:prstGeom prst="rect">
                      <a:avLst/>
                    </a:prstGeom>
                  </pic:spPr>
                </pic:pic>
              </a:graphicData>
            </a:graphic>
          </wp:inline>
        </w:drawing>
      </w:r>
    </w:p>
    <w:p>
      <w:pPr>
        <w:adjustRightInd w:val="0"/>
        <w:snapToGrid w:val="0"/>
        <w:jc w:val="center"/>
        <w:rPr>
          <w:rFonts w:ascii="华文仿宋" w:hAnsi="华文仿宋" w:eastAsia="华文仿宋" w:cs="华文仿宋"/>
          <w:bCs/>
          <w:sz w:val="24"/>
        </w:rPr>
      </w:pPr>
      <w:r>
        <w:rPr>
          <w:rFonts w:hint="eastAsia" w:ascii="华文仿宋" w:hAnsi="华文仿宋" w:eastAsia="华文仿宋" w:cs="华文仿宋"/>
          <w:bCs/>
          <w:sz w:val="24"/>
          <w:szCs w:val="24"/>
        </w:rPr>
        <w:t>图4-4 谷歌浏览器开启FLASH</w:t>
      </w:r>
    </w:p>
    <w:p>
      <w:pPr>
        <w:adjustRightInd w:val="0"/>
        <w:snapToGrid w:val="0"/>
        <w:spacing w:line="480" w:lineRule="exact"/>
        <w:rPr>
          <w:rFonts w:ascii="华文仿宋" w:hAnsi="华文仿宋" w:eastAsia="华文仿宋" w:cs="华文仿宋"/>
          <w:sz w:val="24"/>
          <w:highlight w:val="yellow"/>
        </w:rPr>
      </w:pPr>
      <w:bookmarkStart w:id="13" w:name="_Toc11315"/>
      <w:bookmarkStart w:id="14" w:name="_Toc25497"/>
      <w:bookmarkStart w:id="15" w:name="_Toc653"/>
      <w:r>
        <w:rPr>
          <w:rStyle w:val="28"/>
          <w:rFonts w:hint="eastAsia" w:ascii="华文仿宋" w:hAnsi="华文仿宋" w:eastAsia="华文仿宋" w:cs="华文仿宋"/>
          <w:color w:val="auto"/>
          <w:sz w:val="24"/>
          <w:szCs w:val="24"/>
        </w:rPr>
        <w:t>客户服务热线</w:t>
      </w:r>
      <w:bookmarkEnd w:id="13"/>
      <w:bookmarkEnd w:id="14"/>
      <w:bookmarkEnd w:id="15"/>
      <w:r>
        <w:rPr>
          <w:rFonts w:hint="eastAsia" w:ascii="华文仿宋" w:hAnsi="华文仿宋" w:eastAsia="华文仿宋" w:cs="华文仿宋"/>
          <w:sz w:val="24"/>
          <w:szCs w:val="24"/>
          <w:highlight w:val="yellow"/>
        </w:rPr>
        <w:t xml:space="preserve">：4008757650 </w:t>
      </w:r>
    </w:p>
    <w:p>
      <w:pPr>
        <w:adjustRightInd w:val="0"/>
        <w:snapToGrid w:val="0"/>
        <w:spacing w:line="480" w:lineRule="exact"/>
        <w:rPr>
          <w:rFonts w:ascii="华文仿宋" w:hAnsi="华文仿宋" w:eastAsia="华文仿宋" w:cs="华文仿宋"/>
          <w:sz w:val="24"/>
        </w:rPr>
      </w:pPr>
    </w:p>
    <w:p>
      <w:pPr>
        <w:adjustRightInd w:val="0"/>
        <w:snapToGrid w:val="0"/>
        <w:spacing w:line="276" w:lineRule="auto"/>
        <w:rPr>
          <w:rFonts w:ascii="华文仿宋" w:hAnsi="华文仿宋" w:eastAsia="华文仿宋"/>
        </w:rPr>
      </w:pPr>
    </w:p>
    <w:sectPr>
      <w:pgSz w:w="11906" w:h="16838"/>
      <w:pgMar w:top="1418" w:right="1418" w:bottom="1418"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ACCB3CE-5F4E-4FA3-8AE0-A74D84CA67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480AA360-4C99-4C37-AC2B-CBCB91D7266F}"/>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E1830AA0-8B5B-461A-AA41-CD8E209AFA0A}"/>
  </w:font>
  <w:font w:name="方正小标宋简体">
    <w:panose1 w:val="02010601030101010101"/>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embedRegular r:id="rId4" w:fontKey="{22C354E5-73FE-4E41-BD54-EFBD64F6A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8095"/>
      <w:docPartObj>
        <w:docPartGallery w:val="autotext"/>
      </w:docPartObj>
    </w:sdtPr>
    <w:sdtContent>
      <w:p>
        <w:pPr>
          <w:pStyle w:val="16"/>
          <w:jc w:val="center"/>
        </w:pPr>
        <w:r>
          <w:fldChar w:fldCharType="begin"/>
        </w:r>
        <w:r>
          <w:instrText xml:space="preserve"> PAGE   \* MERGEFORMAT </w:instrText>
        </w:r>
        <w:r>
          <w:fldChar w:fldCharType="separate"/>
        </w:r>
        <w:r>
          <w:rPr>
            <w:lang w:val="zh-CN"/>
          </w:rPr>
          <w:t>4</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8096"/>
      <w:docPartObj>
        <w:docPartGallery w:val="autotext"/>
      </w:docPartObj>
    </w:sdtPr>
    <w:sdtContent>
      <w:p>
        <w:pPr>
          <w:pStyle w:val="16"/>
          <w:jc w:val="center"/>
        </w:pPr>
        <w:r>
          <w:fldChar w:fldCharType="begin"/>
        </w:r>
        <w:r>
          <w:instrText xml:space="preserve"> PAGE   \* MERGEFORMAT </w:instrText>
        </w:r>
        <w:r>
          <w:fldChar w:fldCharType="separate"/>
        </w:r>
        <w:r>
          <w:rPr>
            <w:lang w:val="zh-CN"/>
          </w:rPr>
          <w:t>7</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8097"/>
      <w:docPartObj>
        <w:docPartGallery w:val="autotext"/>
      </w:docPartObj>
    </w:sdtPr>
    <w:sdtContent>
      <w:p>
        <w:pPr>
          <w:pStyle w:val="16"/>
          <w:jc w:val="center"/>
        </w:pPr>
        <w:r>
          <w:fldChar w:fldCharType="begin"/>
        </w:r>
        <w:r>
          <w:instrText xml:space="preserve"> PAGE   \* MERGEFORMAT </w:instrText>
        </w:r>
        <w:r>
          <w:fldChar w:fldCharType="separate"/>
        </w:r>
        <w:r>
          <w:rPr>
            <w:lang w:val="zh-CN"/>
          </w:rPr>
          <w:t>15</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rPr>
        <w:rFonts w:hint="eastAsia"/>
      </w:rPr>
      <w:t>学员问题咨询：400-8757-650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Q1OTE4ZGU5YjExMDVkMmRkNzZmNWQ1MDU2MDBjYTAifQ=="/>
  </w:docVars>
  <w:rsids>
    <w:rsidRoot w:val="0006408F"/>
    <w:rsid w:val="000205DB"/>
    <w:rsid w:val="0002356E"/>
    <w:rsid w:val="000327FA"/>
    <w:rsid w:val="00052788"/>
    <w:rsid w:val="00054077"/>
    <w:rsid w:val="0005788E"/>
    <w:rsid w:val="0006408F"/>
    <w:rsid w:val="00080A94"/>
    <w:rsid w:val="00095E94"/>
    <w:rsid w:val="000A1ABC"/>
    <w:rsid w:val="000A3C2F"/>
    <w:rsid w:val="000A4E8B"/>
    <w:rsid w:val="000B7636"/>
    <w:rsid w:val="000C12FF"/>
    <w:rsid w:val="000C39AF"/>
    <w:rsid w:val="000C464D"/>
    <w:rsid w:val="000D0842"/>
    <w:rsid w:val="000E7887"/>
    <w:rsid w:val="00102BB7"/>
    <w:rsid w:val="001135E2"/>
    <w:rsid w:val="00114D61"/>
    <w:rsid w:val="00116A04"/>
    <w:rsid w:val="00123438"/>
    <w:rsid w:val="00123F17"/>
    <w:rsid w:val="00127264"/>
    <w:rsid w:val="00133AA3"/>
    <w:rsid w:val="00142575"/>
    <w:rsid w:val="00153BD7"/>
    <w:rsid w:val="00165A7F"/>
    <w:rsid w:val="001700F1"/>
    <w:rsid w:val="0017146E"/>
    <w:rsid w:val="00172D16"/>
    <w:rsid w:val="00184BF3"/>
    <w:rsid w:val="001956E7"/>
    <w:rsid w:val="0019659F"/>
    <w:rsid w:val="00197EB4"/>
    <w:rsid w:val="001A17F3"/>
    <w:rsid w:val="001A4F69"/>
    <w:rsid w:val="001A70E5"/>
    <w:rsid w:val="001A72C0"/>
    <w:rsid w:val="001B14A2"/>
    <w:rsid w:val="001B4B33"/>
    <w:rsid w:val="001C091C"/>
    <w:rsid w:val="001C118E"/>
    <w:rsid w:val="001E1C58"/>
    <w:rsid w:val="001E25E2"/>
    <w:rsid w:val="001F0D0F"/>
    <w:rsid w:val="00200943"/>
    <w:rsid w:val="00203B21"/>
    <w:rsid w:val="0020723E"/>
    <w:rsid w:val="00227093"/>
    <w:rsid w:val="0023099B"/>
    <w:rsid w:val="00233959"/>
    <w:rsid w:val="00244F84"/>
    <w:rsid w:val="00245ADC"/>
    <w:rsid w:val="002537DC"/>
    <w:rsid w:val="00277E81"/>
    <w:rsid w:val="0028080F"/>
    <w:rsid w:val="00280BD1"/>
    <w:rsid w:val="00281F33"/>
    <w:rsid w:val="00283152"/>
    <w:rsid w:val="00295EBF"/>
    <w:rsid w:val="002B52AE"/>
    <w:rsid w:val="002B713D"/>
    <w:rsid w:val="002C040D"/>
    <w:rsid w:val="002C0FC7"/>
    <w:rsid w:val="002E1B3D"/>
    <w:rsid w:val="002E45A6"/>
    <w:rsid w:val="002F0426"/>
    <w:rsid w:val="002F4BF4"/>
    <w:rsid w:val="003008F0"/>
    <w:rsid w:val="00301814"/>
    <w:rsid w:val="00312C82"/>
    <w:rsid w:val="00321647"/>
    <w:rsid w:val="00324AF7"/>
    <w:rsid w:val="00324BAF"/>
    <w:rsid w:val="00327D14"/>
    <w:rsid w:val="00337FBC"/>
    <w:rsid w:val="00354ABE"/>
    <w:rsid w:val="003556C0"/>
    <w:rsid w:val="003559F6"/>
    <w:rsid w:val="00365744"/>
    <w:rsid w:val="0037201D"/>
    <w:rsid w:val="003768EE"/>
    <w:rsid w:val="003816D8"/>
    <w:rsid w:val="0038212B"/>
    <w:rsid w:val="0039144B"/>
    <w:rsid w:val="00397C4D"/>
    <w:rsid w:val="003A0AB0"/>
    <w:rsid w:val="003A5CED"/>
    <w:rsid w:val="003B6037"/>
    <w:rsid w:val="003C0211"/>
    <w:rsid w:val="003C18D7"/>
    <w:rsid w:val="003C3B01"/>
    <w:rsid w:val="003C4804"/>
    <w:rsid w:val="003C554E"/>
    <w:rsid w:val="003F11BA"/>
    <w:rsid w:val="00420BA8"/>
    <w:rsid w:val="00434501"/>
    <w:rsid w:val="00460ACC"/>
    <w:rsid w:val="00462E62"/>
    <w:rsid w:val="00465110"/>
    <w:rsid w:val="00475872"/>
    <w:rsid w:val="0048326E"/>
    <w:rsid w:val="00484510"/>
    <w:rsid w:val="00492F95"/>
    <w:rsid w:val="004A627C"/>
    <w:rsid w:val="004C56CE"/>
    <w:rsid w:val="00501C2A"/>
    <w:rsid w:val="005224CC"/>
    <w:rsid w:val="00524703"/>
    <w:rsid w:val="00526651"/>
    <w:rsid w:val="0053026F"/>
    <w:rsid w:val="00560C73"/>
    <w:rsid w:val="00571116"/>
    <w:rsid w:val="00584244"/>
    <w:rsid w:val="00585E33"/>
    <w:rsid w:val="00587F81"/>
    <w:rsid w:val="00591F56"/>
    <w:rsid w:val="00596B62"/>
    <w:rsid w:val="005A1E0A"/>
    <w:rsid w:val="005C7284"/>
    <w:rsid w:val="005E6D69"/>
    <w:rsid w:val="005F0B1C"/>
    <w:rsid w:val="005F2F45"/>
    <w:rsid w:val="0060361F"/>
    <w:rsid w:val="00604508"/>
    <w:rsid w:val="00610711"/>
    <w:rsid w:val="00626279"/>
    <w:rsid w:val="00626FB5"/>
    <w:rsid w:val="00631E53"/>
    <w:rsid w:val="00646DF9"/>
    <w:rsid w:val="00652DA0"/>
    <w:rsid w:val="00657169"/>
    <w:rsid w:val="00667E02"/>
    <w:rsid w:val="00674EBD"/>
    <w:rsid w:val="00680443"/>
    <w:rsid w:val="006B465D"/>
    <w:rsid w:val="006B6E14"/>
    <w:rsid w:val="006C3BF5"/>
    <w:rsid w:val="006C4F27"/>
    <w:rsid w:val="006C7A6A"/>
    <w:rsid w:val="006D291A"/>
    <w:rsid w:val="006D31ED"/>
    <w:rsid w:val="006D7F04"/>
    <w:rsid w:val="006F2956"/>
    <w:rsid w:val="006F2981"/>
    <w:rsid w:val="007005F5"/>
    <w:rsid w:val="007061BE"/>
    <w:rsid w:val="00715507"/>
    <w:rsid w:val="007208C0"/>
    <w:rsid w:val="00737928"/>
    <w:rsid w:val="00750DB3"/>
    <w:rsid w:val="007601A1"/>
    <w:rsid w:val="00760AAA"/>
    <w:rsid w:val="00767A62"/>
    <w:rsid w:val="00776931"/>
    <w:rsid w:val="007831FB"/>
    <w:rsid w:val="0079243F"/>
    <w:rsid w:val="00794205"/>
    <w:rsid w:val="007A7883"/>
    <w:rsid w:val="007B6336"/>
    <w:rsid w:val="007D1007"/>
    <w:rsid w:val="007D6153"/>
    <w:rsid w:val="007F4505"/>
    <w:rsid w:val="007F7DF0"/>
    <w:rsid w:val="00801173"/>
    <w:rsid w:val="00810A9D"/>
    <w:rsid w:val="008120D6"/>
    <w:rsid w:val="0081605C"/>
    <w:rsid w:val="00823194"/>
    <w:rsid w:val="00823B1A"/>
    <w:rsid w:val="008251B0"/>
    <w:rsid w:val="00834753"/>
    <w:rsid w:val="0084041E"/>
    <w:rsid w:val="00852A56"/>
    <w:rsid w:val="00867600"/>
    <w:rsid w:val="00882F8C"/>
    <w:rsid w:val="008A33BB"/>
    <w:rsid w:val="008B3A10"/>
    <w:rsid w:val="008B555B"/>
    <w:rsid w:val="008E0168"/>
    <w:rsid w:val="008E79F4"/>
    <w:rsid w:val="00903478"/>
    <w:rsid w:val="0091399F"/>
    <w:rsid w:val="00927FEF"/>
    <w:rsid w:val="00935753"/>
    <w:rsid w:val="00935866"/>
    <w:rsid w:val="00935C85"/>
    <w:rsid w:val="0096005D"/>
    <w:rsid w:val="00960B5E"/>
    <w:rsid w:val="00963813"/>
    <w:rsid w:val="00970C93"/>
    <w:rsid w:val="00983681"/>
    <w:rsid w:val="00984700"/>
    <w:rsid w:val="009A2F39"/>
    <w:rsid w:val="009A3301"/>
    <w:rsid w:val="009A5F29"/>
    <w:rsid w:val="009A6513"/>
    <w:rsid w:val="009B0440"/>
    <w:rsid w:val="009B0460"/>
    <w:rsid w:val="009B099C"/>
    <w:rsid w:val="009B618E"/>
    <w:rsid w:val="009D1317"/>
    <w:rsid w:val="009D3A56"/>
    <w:rsid w:val="009E74D0"/>
    <w:rsid w:val="00A02065"/>
    <w:rsid w:val="00A045FB"/>
    <w:rsid w:val="00A0494B"/>
    <w:rsid w:val="00A05976"/>
    <w:rsid w:val="00A063E7"/>
    <w:rsid w:val="00A40B2A"/>
    <w:rsid w:val="00A410B5"/>
    <w:rsid w:val="00A46189"/>
    <w:rsid w:val="00A46F9C"/>
    <w:rsid w:val="00A7546C"/>
    <w:rsid w:val="00A81AE5"/>
    <w:rsid w:val="00A8593C"/>
    <w:rsid w:val="00A91638"/>
    <w:rsid w:val="00AC7E98"/>
    <w:rsid w:val="00AE4826"/>
    <w:rsid w:val="00AE5609"/>
    <w:rsid w:val="00AE59F9"/>
    <w:rsid w:val="00AF2977"/>
    <w:rsid w:val="00AF3A18"/>
    <w:rsid w:val="00AF4EE0"/>
    <w:rsid w:val="00AF786E"/>
    <w:rsid w:val="00B1184E"/>
    <w:rsid w:val="00B26200"/>
    <w:rsid w:val="00B3535F"/>
    <w:rsid w:val="00B4086D"/>
    <w:rsid w:val="00B40AC9"/>
    <w:rsid w:val="00B4347C"/>
    <w:rsid w:val="00B62DD3"/>
    <w:rsid w:val="00B81753"/>
    <w:rsid w:val="00B83492"/>
    <w:rsid w:val="00B8514B"/>
    <w:rsid w:val="00B9031A"/>
    <w:rsid w:val="00B9124D"/>
    <w:rsid w:val="00B97DA0"/>
    <w:rsid w:val="00BB1916"/>
    <w:rsid w:val="00BC4B18"/>
    <w:rsid w:val="00BC5218"/>
    <w:rsid w:val="00BC593B"/>
    <w:rsid w:val="00BE0A3E"/>
    <w:rsid w:val="00BF592F"/>
    <w:rsid w:val="00C0202C"/>
    <w:rsid w:val="00C05B28"/>
    <w:rsid w:val="00C169F7"/>
    <w:rsid w:val="00C21421"/>
    <w:rsid w:val="00C21DBC"/>
    <w:rsid w:val="00C64A8A"/>
    <w:rsid w:val="00C9291C"/>
    <w:rsid w:val="00CC1C8A"/>
    <w:rsid w:val="00CC39D1"/>
    <w:rsid w:val="00CE0033"/>
    <w:rsid w:val="00CF0401"/>
    <w:rsid w:val="00CF2138"/>
    <w:rsid w:val="00D108ED"/>
    <w:rsid w:val="00D11CA5"/>
    <w:rsid w:val="00D2239C"/>
    <w:rsid w:val="00D22A80"/>
    <w:rsid w:val="00D2450E"/>
    <w:rsid w:val="00D2770F"/>
    <w:rsid w:val="00D3093A"/>
    <w:rsid w:val="00D36D75"/>
    <w:rsid w:val="00D4093D"/>
    <w:rsid w:val="00D46F39"/>
    <w:rsid w:val="00D60151"/>
    <w:rsid w:val="00D72FEC"/>
    <w:rsid w:val="00D768D4"/>
    <w:rsid w:val="00D77712"/>
    <w:rsid w:val="00D939EC"/>
    <w:rsid w:val="00D964FF"/>
    <w:rsid w:val="00DA24CB"/>
    <w:rsid w:val="00DA5A21"/>
    <w:rsid w:val="00DC764B"/>
    <w:rsid w:val="00DD13E4"/>
    <w:rsid w:val="00DD356E"/>
    <w:rsid w:val="00DE0B2F"/>
    <w:rsid w:val="00DE202D"/>
    <w:rsid w:val="00E066E1"/>
    <w:rsid w:val="00E16015"/>
    <w:rsid w:val="00E16F5F"/>
    <w:rsid w:val="00E26E63"/>
    <w:rsid w:val="00E31217"/>
    <w:rsid w:val="00E365AD"/>
    <w:rsid w:val="00E575E0"/>
    <w:rsid w:val="00E6046F"/>
    <w:rsid w:val="00E76933"/>
    <w:rsid w:val="00E83BAE"/>
    <w:rsid w:val="00E84EAD"/>
    <w:rsid w:val="00E91258"/>
    <w:rsid w:val="00E91BE2"/>
    <w:rsid w:val="00E9360A"/>
    <w:rsid w:val="00EA5834"/>
    <w:rsid w:val="00EB0373"/>
    <w:rsid w:val="00EB16B7"/>
    <w:rsid w:val="00EC2D35"/>
    <w:rsid w:val="00EC6DA9"/>
    <w:rsid w:val="00EE518B"/>
    <w:rsid w:val="00EF513F"/>
    <w:rsid w:val="00F03730"/>
    <w:rsid w:val="00F235EC"/>
    <w:rsid w:val="00F25614"/>
    <w:rsid w:val="00F32818"/>
    <w:rsid w:val="00F53EA9"/>
    <w:rsid w:val="00F60F26"/>
    <w:rsid w:val="00F61AB3"/>
    <w:rsid w:val="00F658B9"/>
    <w:rsid w:val="00F72F8E"/>
    <w:rsid w:val="00F73AD2"/>
    <w:rsid w:val="00FA1D35"/>
    <w:rsid w:val="00FA2DD8"/>
    <w:rsid w:val="00FA323E"/>
    <w:rsid w:val="00FB117B"/>
    <w:rsid w:val="00FB2CAE"/>
    <w:rsid w:val="00FB3798"/>
    <w:rsid w:val="00FB6533"/>
    <w:rsid w:val="00FB7050"/>
    <w:rsid w:val="00FC1B04"/>
    <w:rsid w:val="00FC2D55"/>
    <w:rsid w:val="00FD0C45"/>
    <w:rsid w:val="00FD6640"/>
    <w:rsid w:val="00FE5B5A"/>
    <w:rsid w:val="00FE6213"/>
    <w:rsid w:val="02F40DA1"/>
    <w:rsid w:val="03196F07"/>
    <w:rsid w:val="03B82FEB"/>
    <w:rsid w:val="04326567"/>
    <w:rsid w:val="04A942BA"/>
    <w:rsid w:val="06274A0A"/>
    <w:rsid w:val="096864F2"/>
    <w:rsid w:val="0EAB3795"/>
    <w:rsid w:val="10125EB6"/>
    <w:rsid w:val="11F02B21"/>
    <w:rsid w:val="133F424A"/>
    <w:rsid w:val="134D130F"/>
    <w:rsid w:val="142B4CEC"/>
    <w:rsid w:val="15062C3C"/>
    <w:rsid w:val="15E45152"/>
    <w:rsid w:val="167872BC"/>
    <w:rsid w:val="169B6C6D"/>
    <w:rsid w:val="1A646862"/>
    <w:rsid w:val="1B851185"/>
    <w:rsid w:val="1B933EEC"/>
    <w:rsid w:val="1C773B03"/>
    <w:rsid w:val="1D1F1166"/>
    <w:rsid w:val="1DDE6577"/>
    <w:rsid w:val="1E49383C"/>
    <w:rsid w:val="1E672DC4"/>
    <w:rsid w:val="1E7B5A94"/>
    <w:rsid w:val="2203088D"/>
    <w:rsid w:val="22836D7D"/>
    <w:rsid w:val="238A0FD7"/>
    <w:rsid w:val="24123354"/>
    <w:rsid w:val="24DB6D76"/>
    <w:rsid w:val="258B0EE5"/>
    <w:rsid w:val="25FC2E57"/>
    <w:rsid w:val="26EF7DFB"/>
    <w:rsid w:val="27070CA1"/>
    <w:rsid w:val="28A67489"/>
    <w:rsid w:val="294F7432"/>
    <w:rsid w:val="2AD92954"/>
    <w:rsid w:val="2B0379D1"/>
    <w:rsid w:val="2BB67139"/>
    <w:rsid w:val="2D010ACF"/>
    <w:rsid w:val="2D160AC5"/>
    <w:rsid w:val="2D630BFB"/>
    <w:rsid w:val="2E220AB6"/>
    <w:rsid w:val="2ED0547F"/>
    <w:rsid w:val="2F4E3303"/>
    <w:rsid w:val="319F2582"/>
    <w:rsid w:val="31E52794"/>
    <w:rsid w:val="364F4808"/>
    <w:rsid w:val="367F5E2B"/>
    <w:rsid w:val="36E64C78"/>
    <w:rsid w:val="37E9062B"/>
    <w:rsid w:val="381710A9"/>
    <w:rsid w:val="39037017"/>
    <w:rsid w:val="398E5251"/>
    <w:rsid w:val="3A0B1307"/>
    <w:rsid w:val="3AF550E9"/>
    <w:rsid w:val="3B7F4E62"/>
    <w:rsid w:val="3BA906DE"/>
    <w:rsid w:val="3C655738"/>
    <w:rsid w:val="3C8841DA"/>
    <w:rsid w:val="3D1126C0"/>
    <w:rsid w:val="3DFE2140"/>
    <w:rsid w:val="3EB40C80"/>
    <w:rsid w:val="3F006FD4"/>
    <w:rsid w:val="3F885607"/>
    <w:rsid w:val="40A94D81"/>
    <w:rsid w:val="41D60587"/>
    <w:rsid w:val="41EB2280"/>
    <w:rsid w:val="41F12E84"/>
    <w:rsid w:val="42F70FF3"/>
    <w:rsid w:val="43145D94"/>
    <w:rsid w:val="44064E75"/>
    <w:rsid w:val="45033331"/>
    <w:rsid w:val="454D2705"/>
    <w:rsid w:val="46075AA1"/>
    <w:rsid w:val="46445615"/>
    <w:rsid w:val="465776EF"/>
    <w:rsid w:val="48FD1A0D"/>
    <w:rsid w:val="491750B6"/>
    <w:rsid w:val="49925058"/>
    <w:rsid w:val="4A365275"/>
    <w:rsid w:val="4A737D8F"/>
    <w:rsid w:val="4C3C37DA"/>
    <w:rsid w:val="4F506663"/>
    <w:rsid w:val="4FCC3F86"/>
    <w:rsid w:val="5147420C"/>
    <w:rsid w:val="53AB3BF5"/>
    <w:rsid w:val="543E7E37"/>
    <w:rsid w:val="545D5411"/>
    <w:rsid w:val="562B1CA7"/>
    <w:rsid w:val="566A32E4"/>
    <w:rsid w:val="57116979"/>
    <w:rsid w:val="57996E43"/>
    <w:rsid w:val="579B4ADB"/>
    <w:rsid w:val="58BA5C32"/>
    <w:rsid w:val="58EB2E9D"/>
    <w:rsid w:val="58FC07F4"/>
    <w:rsid w:val="5AB10372"/>
    <w:rsid w:val="5B0647F0"/>
    <w:rsid w:val="5CD56B70"/>
    <w:rsid w:val="5DB20A6A"/>
    <w:rsid w:val="5E197DFF"/>
    <w:rsid w:val="5E5C4722"/>
    <w:rsid w:val="5F2E5DB9"/>
    <w:rsid w:val="5FE70862"/>
    <w:rsid w:val="603D4F70"/>
    <w:rsid w:val="61220B77"/>
    <w:rsid w:val="6126799A"/>
    <w:rsid w:val="61957E78"/>
    <w:rsid w:val="61DC44FC"/>
    <w:rsid w:val="61E94183"/>
    <w:rsid w:val="62D4234E"/>
    <w:rsid w:val="62EF22C5"/>
    <w:rsid w:val="6535464F"/>
    <w:rsid w:val="65532D27"/>
    <w:rsid w:val="65657FCA"/>
    <w:rsid w:val="67966EFB"/>
    <w:rsid w:val="692D4C99"/>
    <w:rsid w:val="6B030E1D"/>
    <w:rsid w:val="6C552701"/>
    <w:rsid w:val="6CE87F01"/>
    <w:rsid w:val="6F74285F"/>
    <w:rsid w:val="6FA220C9"/>
    <w:rsid w:val="6FF15617"/>
    <w:rsid w:val="70486531"/>
    <w:rsid w:val="70983BA6"/>
    <w:rsid w:val="728E646E"/>
    <w:rsid w:val="72B45D98"/>
    <w:rsid w:val="730B4C41"/>
    <w:rsid w:val="749063A1"/>
    <w:rsid w:val="75A40CAD"/>
    <w:rsid w:val="760A11E0"/>
    <w:rsid w:val="763E532E"/>
    <w:rsid w:val="764C2BD8"/>
    <w:rsid w:val="76C17757"/>
    <w:rsid w:val="77C31F45"/>
    <w:rsid w:val="7849132B"/>
    <w:rsid w:val="78636057"/>
    <w:rsid w:val="7A953623"/>
    <w:rsid w:val="7B7D4732"/>
    <w:rsid w:val="7C172CEB"/>
    <w:rsid w:val="7C6347E5"/>
    <w:rsid w:val="7C7A4B71"/>
    <w:rsid w:val="7C956CF3"/>
    <w:rsid w:val="7CC61B94"/>
    <w:rsid w:val="7CD86398"/>
    <w:rsid w:val="7ED95BF4"/>
    <w:rsid w:val="7FFC0E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pPr>
    <w:rPr>
      <w:rFonts w:ascii="仿宋" w:hAnsi="仿宋" w:eastAsia="等线" w:cs="Times New Roman"/>
      <w:sz w:val="28"/>
      <w:szCs w:val="28"/>
      <w:lang w:val="en-US" w:eastAsia="zh-CN" w:bidi="ar-SA"/>
    </w:rPr>
  </w:style>
  <w:style w:type="paragraph" w:styleId="2">
    <w:name w:val="heading 1"/>
    <w:basedOn w:val="1"/>
    <w:next w:val="1"/>
    <w:link w:val="28"/>
    <w:qFormat/>
    <w:uiPriority w:val="9"/>
    <w:pPr>
      <w:keepNext/>
      <w:keepLines/>
      <w:spacing w:before="480"/>
      <w:outlineLvl w:val="0"/>
    </w:pPr>
    <w:rPr>
      <w:rFonts w:ascii="Calibri Light" w:hAnsi="Calibri Light" w:eastAsia="宋体"/>
      <w:b/>
      <w:bCs/>
      <w:color w:val="2E74B5"/>
    </w:rPr>
  </w:style>
  <w:style w:type="paragraph" w:styleId="3">
    <w:name w:val="heading 2"/>
    <w:basedOn w:val="1"/>
    <w:next w:val="1"/>
    <w:link w:val="29"/>
    <w:semiHidden/>
    <w:unhideWhenUsed/>
    <w:qFormat/>
    <w:uiPriority w:val="9"/>
    <w:pPr>
      <w:keepNext/>
      <w:keepLines/>
      <w:spacing w:before="200"/>
      <w:outlineLvl w:val="1"/>
    </w:pPr>
    <w:rPr>
      <w:rFonts w:ascii="Calibri Light" w:hAnsi="Calibri Light" w:eastAsia="宋体"/>
      <w:b/>
      <w:bCs/>
      <w:color w:val="5B9BD5"/>
      <w:sz w:val="26"/>
      <w:szCs w:val="26"/>
    </w:rPr>
  </w:style>
  <w:style w:type="paragraph" w:styleId="4">
    <w:name w:val="heading 3"/>
    <w:basedOn w:val="1"/>
    <w:next w:val="1"/>
    <w:link w:val="30"/>
    <w:semiHidden/>
    <w:unhideWhenUsed/>
    <w:qFormat/>
    <w:uiPriority w:val="9"/>
    <w:pPr>
      <w:keepNext/>
      <w:keepLines/>
      <w:spacing w:before="200"/>
      <w:outlineLvl w:val="2"/>
    </w:pPr>
    <w:rPr>
      <w:rFonts w:ascii="Calibri Light" w:hAnsi="Calibri Light" w:eastAsia="宋体"/>
      <w:b/>
      <w:bCs/>
      <w:color w:val="5B9BD5"/>
    </w:rPr>
  </w:style>
  <w:style w:type="paragraph" w:styleId="5">
    <w:name w:val="heading 4"/>
    <w:basedOn w:val="1"/>
    <w:next w:val="1"/>
    <w:link w:val="31"/>
    <w:semiHidden/>
    <w:unhideWhenUsed/>
    <w:qFormat/>
    <w:uiPriority w:val="9"/>
    <w:pPr>
      <w:keepNext/>
      <w:keepLines/>
      <w:spacing w:before="200"/>
      <w:outlineLvl w:val="3"/>
    </w:pPr>
    <w:rPr>
      <w:rFonts w:ascii="Calibri Light" w:hAnsi="Calibri Light" w:eastAsia="宋体"/>
      <w:b/>
      <w:bCs/>
      <w:i/>
      <w:iCs/>
      <w:color w:val="5B9BD5"/>
    </w:rPr>
  </w:style>
  <w:style w:type="paragraph" w:styleId="6">
    <w:name w:val="heading 5"/>
    <w:basedOn w:val="1"/>
    <w:next w:val="1"/>
    <w:link w:val="32"/>
    <w:semiHidden/>
    <w:unhideWhenUsed/>
    <w:qFormat/>
    <w:uiPriority w:val="9"/>
    <w:pPr>
      <w:keepNext/>
      <w:keepLines/>
      <w:spacing w:before="200"/>
      <w:outlineLvl w:val="4"/>
    </w:pPr>
    <w:rPr>
      <w:rFonts w:ascii="Calibri Light" w:hAnsi="Calibri Light" w:eastAsia="宋体"/>
      <w:color w:val="1F4D78"/>
    </w:rPr>
  </w:style>
  <w:style w:type="paragraph" w:styleId="7">
    <w:name w:val="heading 6"/>
    <w:basedOn w:val="1"/>
    <w:next w:val="1"/>
    <w:link w:val="33"/>
    <w:semiHidden/>
    <w:unhideWhenUsed/>
    <w:qFormat/>
    <w:uiPriority w:val="9"/>
    <w:pPr>
      <w:keepNext/>
      <w:keepLines/>
      <w:spacing w:before="200"/>
      <w:outlineLvl w:val="5"/>
    </w:pPr>
    <w:rPr>
      <w:rFonts w:ascii="Calibri Light" w:hAnsi="Calibri Light" w:eastAsia="宋体"/>
      <w:i/>
      <w:iCs/>
      <w:color w:val="1F4D78"/>
    </w:rPr>
  </w:style>
  <w:style w:type="paragraph" w:styleId="8">
    <w:name w:val="heading 7"/>
    <w:basedOn w:val="1"/>
    <w:next w:val="1"/>
    <w:link w:val="34"/>
    <w:semiHidden/>
    <w:unhideWhenUsed/>
    <w:qFormat/>
    <w:uiPriority w:val="9"/>
    <w:pPr>
      <w:keepNext/>
      <w:keepLines/>
      <w:spacing w:before="200"/>
      <w:outlineLvl w:val="6"/>
    </w:pPr>
    <w:rPr>
      <w:rFonts w:ascii="Calibri Light" w:hAnsi="Calibri Light" w:eastAsia="宋体"/>
      <w:i/>
      <w:iCs/>
      <w:color w:val="404040"/>
    </w:rPr>
  </w:style>
  <w:style w:type="paragraph" w:styleId="9">
    <w:name w:val="heading 8"/>
    <w:basedOn w:val="1"/>
    <w:next w:val="1"/>
    <w:link w:val="35"/>
    <w:semiHidden/>
    <w:unhideWhenUsed/>
    <w:qFormat/>
    <w:uiPriority w:val="9"/>
    <w:pPr>
      <w:keepNext/>
      <w:keepLines/>
      <w:spacing w:before="200"/>
      <w:outlineLvl w:val="7"/>
    </w:pPr>
    <w:rPr>
      <w:rFonts w:ascii="Calibri Light" w:hAnsi="Calibri Light" w:eastAsia="宋体"/>
      <w:color w:val="5B9BD5"/>
      <w:sz w:val="20"/>
      <w:szCs w:val="20"/>
    </w:rPr>
  </w:style>
  <w:style w:type="paragraph" w:styleId="10">
    <w:name w:val="heading 9"/>
    <w:basedOn w:val="1"/>
    <w:next w:val="1"/>
    <w:link w:val="36"/>
    <w:semiHidden/>
    <w:unhideWhenUsed/>
    <w:qFormat/>
    <w:uiPriority w:val="9"/>
    <w:pPr>
      <w:keepNext/>
      <w:keepLines/>
      <w:spacing w:before="200"/>
      <w:outlineLvl w:val="8"/>
    </w:pPr>
    <w:rPr>
      <w:rFonts w:ascii="Calibri Light" w:hAnsi="Calibri Light" w:eastAsia="宋体"/>
      <w:i/>
      <w:iCs/>
      <w:color w:val="404040"/>
      <w:sz w:val="20"/>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5B9BD5"/>
      <w:sz w:val="18"/>
      <w:szCs w:val="18"/>
    </w:rPr>
  </w:style>
  <w:style w:type="paragraph" w:styleId="12">
    <w:name w:val="annotation text"/>
    <w:basedOn w:val="1"/>
    <w:link w:val="58"/>
    <w:semiHidden/>
    <w:unhideWhenUsed/>
    <w:qFormat/>
    <w:uiPriority w:val="0"/>
  </w:style>
  <w:style w:type="paragraph" w:styleId="13">
    <w:name w:val="Body Text"/>
    <w:basedOn w:val="1"/>
    <w:link w:val="53"/>
    <w:qFormat/>
    <w:uiPriority w:val="0"/>
    <w:rPr>
      <w:rFonts w:eastAsia="仿宋_GB2312"/>
      <w:b/>
      <w:bCs/>
    </w:rPr>
  </w:style>
  <w:style w:type="paragraph" w:styleId="14">
    <w:name w:val="Date"/>
    <w:basedOn w:val="1"/>
    <w:next w:val="1"/>
    <w:link w:val="57"/>
    <w:semiHidden/>
    <w:unhideWhenUsed/>
    <w:qFormat/>
    <w:uiPriority w:val="0"/>
    <w:pPr>
      <w:ind w:left="100" w:leftChars="2500"/>
    </w:pPr>
  </w:style>
  <w:style w:type="paragraph" w:styleId="15">
    <w:name w:val="Balloon Text"/>
    <w:basedOn w:val="1"/>
    <w:link w:val="55"/>
    <w:qFormat/>
    <w:uiPriority w:val="0"/>
    <w:pPr>
      <w:spacing w:line="240" w:lineRule="auto"/>
    </w:pPr>
    <w:rPr>
      <w:sz w:val="18"/>
      <w:szCs w:val="18"/>
    </w:rPr>
  </w:style>
  <w:style w:type="paragraph" w:styleId="16">
    <w:name w:val="footer"/>
    <w:basedOn w:val="1"/>
    <w:link w:val="52"/>
    <w:qFormat/>
    <w:uiPriority w:val="99"/>
    <w:pPr>
      <w:tabs>
        <w:tab w:val="center" w:pos="4153"/>
        <w:tab w:val="right" w:pos="8306"/>
      </w:tabs>
      <w:snapToGrid w:val="0"/>
    </w:pPr>
    <w:rPr>
      <w:sz w:val="18"/>
      <w:szCs w:val="18"/>
    </w:rPr>
  </w:style>
  <w:style w:type="paragraph" w:styleId="17">
    <w:name w:val="header"/>
    <w:basedOn w:val="1"/>
    <w:link w:val="51"/>
    <w:qFormat/>
    <w:uiPriority w:val="99"/>
    <w:pPr>
      <w:pBdr>
        <w:bottom w:val="single" w:color="auto" w:sz="6" w:space="1"/>
      </w:pBdr>
      <w:tabs>
        <w:tab w:val="center" w:pos="4153"/>
        <w:tab w:val="right" w:pos="8306"/>
      </w:tabs>
      <w:snapToGrid w:val="0"/>
      <w:jc w:val="center"/>
    </w:pPr>
    <w:rPr>
      <w:sz w:val="18"/>
      <w:szCs w:val="18"/>
    </w:rPr>
  </w:style>
  <w:style w:type="paragraph" w:styleId="18">
    <w:name w:val="Subtitle"/>
    <w:basedOn w:val="1"/>
    <w:next w:val="1"/>
    <w:link w:val="38"/>
    <w:qFormat/>
    <w:uiPriority w:val="11"/>
    <w:rPr>
      <w:rFonts w:ascii="Calibri Light" w:hAnsi="Calibri Light" w:eastAsia="宋体"/>
      <w:i/>
      <w:iCs/>
      <w:color w:val="5B9BD5"/>
      <w:spacing w:val="15"/>
      <w:sz w:val="24"/>
      <w:szCs w:val="24"/>
    </w:rPr>
  </w:style>
  <w:style w:type="paragraph" w:styleId="19">
    <w:name w:val="Title"/>
    <w:basedOn w:val="1"/>
    <w:next w:val="1"/>
    <w:link w:val="37"/>
    <w:qFormat/>
    <w:uiPriority w:val="10"/>
    <w:pPr>
      <w:pBdr>
        <w:bottom w:val="single" w:color="5B9BD5" w:sz="8" w:space="4"/>
      </w:pBdr>
      <w:spacing w:after="300" w:line="240" w:lineRule="auto"/>
      <w:contextualSpacing/>
    </w:pPr>
    <w:rPr>
      <w:rFonts w:ascii="Calibri Light" w:hAnsi="Calibri Light" w:eastAsia="宋体"/>
      <w:color w:val="323E4F"/>
      <w:spacing w:val="5"/>
      <w:sz w:val="52"/>
      <w:szCs w:val="52"/>
    </w:rPr>
  </w:style>
  <w:style w:type="paragraph" w:styleId="20">
    <w:name w:val="annotation subject"/>
    <w:basedOn w:val="12"/>
    <w:next w:val="12"/>
    <w:link w:val="59"/>
    <w:semiHidden/>
    <w:unhideWhenUsed/>
    <w:qFormat/>
    <w:uiPriority w:val="0"/>
    <w:rPr>
      <w:b/>
      <w:bCs/>
    </w:r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Strong"/>
    <w:qFormat/>
    <w:uiPriority w:val="22"/>
    <w:rPr>
      <w:b/>
      <w:bCs/>
    </w:rPr>
  </w:style>
  <w:style w:type="character" w:styleId="25">
    <w:name w:val="Emphasis"/>
    <w:qFormat/>
    <w:uiPriority w:val="20"/>
    <w:rPr>
      <w:i/>
      <w:iCs/>
    </w:rPr>
  </w:style>
  <w:style w:type="character" w:styleId="26">
    <w:name w:val="Hyperlink"/>
    <w:basedOn w:val="23"/>
    <w:qFormat/>
    <w:uiPriority w:val="0"/>
    <w:rPr>
      <w:color w:val="0563C1" w:themeColor="hyperlink"/>
      <w:u w:val="single"/>
    </w:rPr>
  </w:style>
  <w:style w:type="character" w:styleId="27">
    <w:name w:val="annotation reference"/>
    <w:basedOn w:val="23"/>
    <w:semiHidden/>
    <w:unhideWhenUsed/>
    <w:qFormat/>
    <w:uiPriority w:val="0"/>
    <w:rPr>
      <w:sz w:val="21"/>
      <w:szCs w:val="21"/>
    </w:rPr>
  </w:style>
  <w:style w:type="character" w:customStyle="1" w:styleId="28">
    <w:name w:val="标题 1 Char"/>
    <w:link w:val="2"/>
    <w:qFormat/>
    <w:uiPriority w:val="0"/>
    <w:rPr>
      <w:rFonts w:ascii="Calibri Light" w:hAnsi="Calibri Light" w:eastAsia="宋体"/>
      <w:b/>
      <w:bCs/>
      <w:color w:val="2E74B5"/>
      <w:sz w:val="28"/>
      <w:szCs w:val="28"/>
    </w:rPr>
  </w:style>
  <w:style w:type="character" w:customStyle="1" w:styleId="29">
    <w:name w:val="标题 2 Char"/>
    <w:link w:val="3"/>
    <w:semiHidden/>
    <w:qFormat/>
    <w:uiPriority w:val="9"/>
    <w:rPr>
      <w:rFonts w:ascii="Calibri Light" w:hAnsi="Calibri Light" w:eastAsia="宋体"/>
      <w:b/>
      <w:bCs/>
      <w:color w:val="5B9BD5"/>
      <w:sz w:val="26"/>
      <w:szCs w:val="26"/>
    </w:rPr>
  </w:style>
  <w:style w:type="character" w:customStyle="1" w:styleId="30">
    <w:name w:val="标题 3 Char"/>
    <w:link w:val="4"/>
    <w:semiHidden/>
    <w:qFormat/>
    <w:uiPriority w:val="9"/>
    <w:rPr>
      <w:rFonts w:ascii="Calibri Light" w:hAnsi="Calibri Light" w:eastAsia="宋体"/>
      <w:b/>
      <w:bCs/>
      <w:color w:val="5B9BD5"/>
      <w:sz w:val="28"/>
      <w:szCs w:val="28"/>
    </w:rPr>
  </w:style>
  <w:style w:type="character" w:customStyle="1" w:styleId="31">
    <w:name w:val="标题 4 Char"/>
    <w:link w:val="5"/>
    <w:semiHidden/>
    <w:qFormat/>
    <w:uiPriority w:val="9"/>
    <w:rPr>
      <w:rFonts w:ascii="Calibri Light" w:hAnsi="Calibri Light" w:eastAsia="宋体"/>
      <w:b/>
      <w:bCs/>
      <w:i/>
      <w:iCs/>
      <w:color w:val="5B9BD5"/>
      <w:sz w:val="28"/>
      <w:szCs w:val="28"/>
    </w:rPr>
  </w:style>
  <w:style w:type="character" w:customStyle="1" w:styleId="32">
    <w:name w:val="标题 5 Char"/>
    <w:link w:val="6"/>
    <w:semiHidden/>
    <w:qFormat/>
    <w:uiPriority w:val="9"/>
    <w:rPr>
      <w:rFonts w:ascii="Calibri Light" w:hAnsi="Calibri Light" w:eastAsia="宋体"/>
      <w:color w:val="1F4D78"/>
      <w:sz w:val="28"/>
      <w:szCs w:val="28"/>
    </w:rPr>
  </w:style>
  <w:style w:type="character" w:customStyle="1" w:styleId="33">
    <w:name w:val="标题 6 Char"/>
    <w:link w:val="7"/>
    <w:semiHidden/>
    <w:qFormat/>
    <w:uiPriority w:val="9"/>
    <w:rPr>
      <w:rFonts w:ascii="Calibri Light" w:hAnsi="Calibri Light" w:eastAsia="宋体"/>
      <w:i/>
      <w:iCs/>
      <w:color w:val="1F4D78"/>
      <w:sz w:val="28"/>
      <w:szCs w:val="28"/>
    </w:rPr>
  </w:style>
  <w:style w:type="character" w:customStyle="1" w:styleId="34">
    <w:name w:val="标题 7 Char"/>
    <w:link w:val="8"/>
    <w:semiHidden/>
    <w:qFormat/>
    <w:uiPriority w:val="9"/>
    <w:rPr>
      <w:rFonts w:ascii="Calibri Light" w:hAnsi="Calibri Light" w:eastAsia="宋体"/>
      <w:i/>
      <w:iCs/>
      <w:color w:val="404040"/>
      <w:sz w:val="28"/>
      <w:szCs w:val="28"/>
    </w:rPr>
  </w:style>
  <w:style w:type="character" w:customStyle="1" w:styleId="35">
    <w:name w:val="标题 8 Char"/>
    <w:link w:val="9"/>
    <w:semiHidden/>
    <w:qFormat/>
    <w:uiPriority w:val="9"/>
    <w:rPr>
      <w:rFonts w:ascii="Calibri Light" w:hAnsi="Calibri Light" w:eastAsia="宋体"/>
      <w:color w:val="5B9BD5"/>
    </w:rPr>
  </w:style>
  <w:style w:type="character" w:customStyle="1" w:styleId="36">
    <w:name w:val="标题 9 Char"/>
    <w:link w:val="10"/>
    <w:semiHidden/>
    <w:qFormat/>
    <w:uiPriority w:val="9"/>
    <w:rPr>
      <w:rFonts w:ascii="Calibri Light" w:hAnsi="Calibri Light" w:eastAsia="宋体"/>
      <w:i/>
      <w:iCs/>
      <w:color w:val="404040"/>
    </w:rPr>
  </w:style>
  <w:style w:type="character" w:customStyle="1" w:styleId="37">
    <w:name w:val="标题 Char"/>
    <w:link w:val="19"/>
    <w:qFormat/>
    <w:uiPriority w:val="10"/>
    <w:rPr>
      <w:rFonts w:ascii="Calibri Light" w:hAnsi="Calibri Light" w:eastAsia="宋体"/>
      <w:color w:val="323E4F"/>
      <w:spacing w:val="5"/>
      <w:sz w:val="52"/>
      <w:szCs w:val="52"/>
    </w:rPr>
  </w:style>
  <w:style w:type="character" w:customStyle="1" w:styleId="38">
    <w:name w:val="副标题 Char"/>
    <w:link w:val="18"/>
    <w:qFormat/>
    <w:uiPriority w:val="11"/>
    <w:rPr>
      <w:rFonts w:ascii="Calibri Light" w:hAnsi="Calibri Light" w:eastAsia="宋体"/>
      <w:i/>
      <w:iCs/>
      <w:color w:val="5B9BD5"/>
      <w:spacing w:val="15"/>
      <w:sz w:val="24"/>
      <w:szCs w:val="24"/>
    </w:rPr>
  </w:style>
  <w:style w:type="paragraph" w:styleId="39">
    <w:name w:val="No Spacing"/>
    <w:qFormat/>
    <w:uiPriority w:val="1"/>
    <w:pPr>
      <w:spacing w:line="400" w:lineRule="exact"/>
    </w:pPr>
    <w:rPr>
      <w:rFonts w:ascii="仿宋" w:hAnsi="仿宋" w:eastAsia="等线" w:cs="Times New Roman"/>
      <w:sz w:val="28"/>
      <w:szCs w:val="28"/>
      <w:lang w:val="en-US" w:eastAsia="zh-CN" w:bidi="ar-SA"/>
    </w:rPr>
  </w:style>
  <w:style w:type="paragraph" w:styleId="40">
    <w:name w:val="List Paragraph"/>
    <w:basedOn w:val="1"/>
    <w:qFormat/>
    <w:uiPriority w:val="34"/>
    <w:pPr>
      <w:ind w:firstLine="420" w:firstLineChars="200"/>
    </w:pPr>
  </w:style>
  <w:style w:type="paragraph" w:styleId="41">
    <w:name w:val="Quote"/>
    <w:basedOn w:val="1"/>
    <w:next w:val="1"/>
    <w:link w:val="42"/>
    <w:qFormat/>
    <w:uiPriority w:val="29"/>
    <w:rPr>
      <w:i/>
      <w:iCs/>
      <w:color w:val="000000"/>
    </w:rPr>
  </w:style>
  <w:style w:type="character" w:customStyle="1" w:styleId="42">
    <w:name w:val="引用 Char"/>
    <w:link w:val="41"/>
    <w:qFormat/>
    <w:uiPriority w:val="29"/>
    <w:rPr>
      <w:i/>
      <w:iCs/>
      <w:color w:val="000000"/>
      <w:sz w:val="28"/>
      <w:szCs w:val="28"/>
    </w:rPr>
  </w:style>
  <w:style w:type="paragraph" w:styleId="43">
    <w:name w:val="Intense Quote"/>
    <w:basedOn w:val="1"/>
    <w:next w:val="1"/>
    <w:link w:val="44"/>
    <w:qFormat/>
    <w:uiPriority w:val="30"/>
    <w:pPr>
      <w:pBdr>
        <w:bottom w:val="single" w:color="5B9BD5" w:sz="4" w:space="4"/>
      </w:pBdr>
      <w:spacing w:before="200" w:after="280"/>
      <w:ind w:left="936" w:right="936"/>
    </w:pPr>
    <w:rPr>
      <w:b/>
      <w:bCs/>
      <w:i/>
      <w:iCs/>
      <w:color w:val="5B9BD5"/>
    </w:rPr>
  </w:style>
  <w:style w:type="character" w:customStyle="1" w:styleId="44">
    <w:name w:val="明显引用 Char"/>
    <w:link w:val="43"/>
    <w:qFormat/>
    <w:uiPriority w:val="30"/>
    <w:rPr>
      <w:b/>
      <w:bCs/>
      <w:i/>
      <w:iCs/>
      <w:color w:val="5B9BD5"/>
      <w:sz w:val="28"/>
      <w:szCs w:val="28"/>
    </w:rPr>
  </w:style>
  <w:style w:type="character" w:customStyle="1" w:styleId="45">
    <w:name w:val="不明显强调1"/>
    <w:qFormat/>
    <w:uiPriority w:val="19"/>
    <w:rPr>
      <w:i/>
      <w:iCs/>
      <w:color w:val="808080"/>
    </w:rPr>
  </w:style>
  <w:style w:type="character" w:customStyle="1" w:styleId="46">
    <w:name w:val="明显强调1"/>
    <w:qFormat/>
    <w:uiPriority w:val="21"/>
    <w:rPr>
      <w:b/>
      <w:bCs/>
      <w:i/>
      <w:iCs/>
      <w:color w:val="5B9BD5"/>
    </w:rPr>
  </w:style>
  <w:style w:type="character" w:customStyle="1" w:styleId="47">
    <w:name w:val="不明显参考1"/>
    <w:qFormat/>
    <w:uiPriority w:val="31"/>
    <w:rPr>
      <w:smallCaps/>
      <w:color w:val="ED7D31"/>
      <w:u w:val="single"/>
    </w:rPr>
  </w:style>
  <w:style w:type="character" w:customStyle="1" w:styleId="48">
    <w:name w:val="明显参考1"/>
    <w:qFormat/>
    <w:uiPriority w:val="32"/>
    <w:rPr>
      <w:b/>
      <w:bCs/>
      <w:smallCaps/>
      <w:color w:val="ED7D31"/>
      <w:spacing w:val="5"/>
      <w:u w:val="single"/>
    </w:rPr>
  </w:style>
  <w:style w:type="character" w:customStyle="1" w:styleId="49">
    <w:name w:val="书籍标题1"/>
    <w:qFormat/>
    <w:uiPriority w:val="33"/>
    <w:rPr>
      <w:b/>
      <w:bCs/>
      <w:smallCaps/>
      <w:spacing w:val="5"/>
    </w:rPr>
  </w:style>
  <w:style w:type="paragraph" w:customStyle="1" w:styleId="50">
    <w:name w:val="TOC 标题1"/>
    <w:basedOn w:val="2"/>
    <w:next w:val="1"/>
    <w:semiHidden/>
    <w:unhideWhenUsed/>
    <w:qFormat/>
    <w:uiPriority w:val="39"/>
    <w:pPr>
      <w:outlineLvl w:val="9"/>
    </w:pPr>
  </w:style>
  <w:style w:type="character" w:customStyle="1" w:styleId="51">
    <w:name w:val="页眉 Char"/>
    <w:link w:val="17"/>
    <w:qFormat/>
    <w:uiPriority w:val="99"/>
    <w:rPr>
      <w:rFonts w:eastAsia="等线" w:cs="Times New Roman"/>
      <w:sz w:val="18"/>
      <w:szCs w:val="18"/>
    </w:rPr>
  </w:style>
  <w:style w:type="character" w:customStyle="1" w:styleId="52">
    <w:name w:val="页脚 Char"/>
    <w:link w:val="16"/>
    <w:qFormat/>
    <w:uiPriority w:val="99"/>
    <w:rPr>
      <w:rFonts w:eastAsia="等线" w:cs="Times New Roman"/>
      <w:sz w:val="18"/>
      <w:szCs w:val="18"/>
    </w:rPr>
  </w:style>
  <w:style w:type="character" w:customStyle="1" w:styleId="53">
    <w:name w:val="正文文本 Char"/>
    <w:basedOn w:val="23"/>
    <w:link w:val="13"/>
    <w:qFormat/>
    <w:uiPriority w:val="0"/>
    <w:rPr>
      <w:rFonts w:eastAsia="仿宋_GB2312" w:cs="Times New Roman"/>
      <w:b/>
      <w:bCs/>
    </w:rPr>
  </w:style>
  <w:style w:type="character" w:customStyle="1" w:styleId="54">
    <w:name w:val="未处理的提及1"/>
    <w:basedOn w:val="23"/>
    <w:semiHidden/>
    <w:unhideWhenUsed/>
    <w:qFormat/>
    <w:uiPriority w:val="99"/>
    <w:rPr>
      <w:color w:val="605E5C"/>
      <w:shd w:val="clear" w:color="auto" w:fill="E1DFDD"/>
    </w:rPr>
  </w:style>
  <w:style w:type="character" w:customStyle="1" w:styleId="55">
    <w:name w:val="批注框文本 Char"/>
    <w:basedOn w:val="23"/>
    <w:link w:val="15"/>
    <w:qFormat/>
    <w:uiPriority w:val="0"/>
    <w:rPr>
      <w:rFonts w:ascii="仿宋" w:hAnsi="仿宋" w:eastAsia="等线"/>
      <w:sz w:val="18"/>
      <w:szCs w:val="18"/>
    </w:rPr>
  </w:style>
  <w:style w:type="character" w:customStyle="1" w:styleId="56">
    <w:name w:val="Hyperlink.0"/>
    <w:qFormat/>
    <w:uiPriority w:val="0"/>
    <w:rPr>
      <w:lang w:val="zh-TW" w:eastAsia="zh-TW"/>
    </w:rPr>
  </w:style>
  <w:style w:type="character" w:customStyle="1" w:styleId="57">
    <w:name w:val="日期 Char"/>
    <w:basedOn w:val="23"/>
    <w:link w:val="14"/>
    <w:semiHidden/>
    <w:qFormat/>
    <w:uiPriority w:val="0"/>
    <w:rPr>
      <w:rFonts w:ascii="仿宋" w:hAnsi="仿宋" w:eastAsia="等线"/>
      <w:sz w:val="28"/>
      <w:szCs w:val="28"/>
    </w:rPr>
  </w:style>
  <w:style w:type="character" w:customStyle="1" w:styleId="58">
    <w:name w:val="批注文字 Char"/>
    <w:basedOn w:val="23"/>
    <w:link w:val="12"/>
    <w:semiHidden/>
    <w:qFormat/>
    <w:uiPriority w:val="0"/>
    <w:rPr>
      <w:rFonts w:ascii="仿宋" w:hAnsi="仿宋" w:eastAsia="等线"/>
      <w:sz w:val="28"/>
      <w:szCs w:val="28"/>
    </w:rPr>
  </w:style>
  <w:style w:type="character" w:customStyle="1" w:styleId="59">
    <w:name w:val="批注主题 Char"/>
    <w:basedOn w:val="58"/>
    <w:link w:val="20"/>
    <w:semiHidden/>
    <w:qFormat/>
    <w:uiPriority w:val="0"/>
    <w:rPr>
      <w:rFonts w:ascii="仿宋" w:hAnsi="仿宋" w:eastAsia="等线"/>
      <w:b/>
      <w:bCs/>
      <w:sz w:val="28"/>
      <w:szCs w:val="28"/>
    </w:rPr>
  </w:style>
  <w:style w:type="paragraph" w:customStyle="1" w:styleId="60">
    <w:name w:val="Revision"/>
    <w:hidden/>
    <w:semiHidden/>
    <w:qFormat/>
    <w:uiPriority w:val="99"/>
    <w:rPr>
      <w:rFonts w:ascii="仿宋" w:hAnsi="仿宋" w:eastAsia="等线" w:cs="Times New Roman"/>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A4367-9B54-4FF6-9A78-22AE7433AA5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3948</Words>
  <Characters>4696</Characters>
  <Lines>40</Lines>
  <Paragraphs>11</Paragraphs>
  <TotalTime>121</TotalTime>
  <ScaleCrop>false</ScaleCrop>
  <LinksUpToDate>false</LinksUpToDate>
  <CharactersWithSpaces>4952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2022-11-18T08:20:00Z</dcterms:created>
  <dc:creator>lin xy</dc:creator>
  <cp:lastModifiedBy>JSGZB</cp:lastModifiedBy>
  <cp:lastPrinted>2022-11-22T03:05:00Z</cp:lastPrinted>
  <dcterms:modified xsi:type="dcterms:W3CDTF">2022-11-23T09:01:42Z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58A831031FB14E75AA4E615EAEBA5C07</vt:lpwstr>
  </property>
</Properties>
</file>